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85" w:rsidRDefault="00781C85" w:rsidP="00781C85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Hlk131053973"/>
    </w:p>
    <w:p w:rsidR="00781C85" w:rsidRDefault="00781C85" w:rsidP="00781C85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81C85" w:rsidRDefault="00781C85" w:rsidP="00781C8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:rsidR="00781C85" w:rsidRPr="0025472A" w:rsidRDefault="00781C85" w:rsidP="00781C85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81C85" w:rsidRPr="004C14FF" w:rsidRDefault="00781C85" w:rsidP="00781C85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17D33" w:rsidRDefault="00017D33" w:rsidP="00017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D33" w:rsidRDefault="00017D33" w:rsidP="00017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D33" w:rsidRDefault="00FD1872" w:rsidP="00FD18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апреля 2023 г. № 248</w:t>
      </w:r>
    </w:p>
    <w:p w:rsidR="00FD1872" w:rsidRDefault="00FD1872" w:rsidP="00FD18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017D33" w:rsidRPr="00017D33" w:rsidRDefault="00017D33" w:rsidP="00017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D33" w:rsidRDefault="0057770A" w:rsidP="00017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33">
        <w:rPr>
          <w:rFonts w:ascii="Times New Roman" w:hAnsi="Times New Roman" w:cs="Times New Roman"/>
          <w:b/>
          <w:sz w:val="28"/>
          <w:szCs w:val="28"/>
        </w:rPr>
        <w:t xml:space="preserve">Об итогах деятельности Агентства </w:t>
      </w:r>
    </w:p>
    <w:p w:rsidR="00017D33" w:rsidRDefault="0057770A" w:rsidP="00017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33">
        <w:rPr>
          <w:rFonts w:ascii="Times New Roman" w:hAnsi="Times New Roman" w:cs="Times New Roman"/>
          <w:b/>
          <w:sz w:val="28"/>
          <w:szCs w:val="28"/>
        </w:rPr>
        <w:t xml:space="preserve">по науке Республики Тыва за 2022 год </w:t>
      </w:r>
    </w:p>
    <w:p w:rsidR="00017D33" w:rsidRDefault="0057770A" w:rsidP="00017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33">
        <w:rPr>
          <w:rFonts w:ascii="Times New Roman" w:hAnsi="Times New Roman" w:cs="Times New Roman"/>
          <w:b/>
          <w:sz w:val="28"/>
          <w:szCs w:val="28"/>
        </w:rPr>
        <w:t xml:space="preserve">и о приоритетных направлениях </w:t>
      </w:r>
    </w:p>
    <w:p w:rsidR="008111D3" w:rsidRPr="00017D33" w:rsidRDefault="0057770A" w:rsidP="00017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33">
        <w:rPr>
          <w:rFonts w:ascii="Times New Roman" w:hAnsi="Times New Roman" w:cs="Times New Roman"/>
          <w:b/>
          <w:sz w:val="28"/>
          <w:szCs w:val="28"/>
        </w:rPr>
        <w:t>деятельности на 2023 год</w:t>
      </w:r>
    </w:p>
    <w:p w:rsidR="008111D3" w:rsidRDefault="008111D3" w:rsidP="00017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D33" w:rsidRPr="00017D33" w:rsidRDefault="00017D33" w:rsidP="00017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1D3" w:rsidRDefault="0057770A" w:rsidP="00017D33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33">
        <w:rPr>
          <w:rFonts w:ascii="Times New Roman" w:hAnsi="Times New Roman" w:cs="Times New Roman"/>
          <w:sz w:val="28"/>
          <w:szCs w:val="28"/>
        </w:rPr>
        <w:t xml:space="preserve">В соответствии со статьей 14 Закона Республики Тыва от 11 апреля 2016 г. </w:t>
      </w:r>
      <w:r w:rsidR="00017D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17D33">
        <w:rPr>
          <w:rFonts w:ascii="Times New Roman" w:hAnsi="Times New Roman" w:cs="Times New Roman"/>
          <w:sz w:val="28"/>
          <w:szCs w:val="28"/>
        </w:rPr>
        <w:t>№ 160-ЗРТ «О стратегическом планировании в Республике Тыва» Правительство Республики Тыва ПОСТАНОВЛЯЕТ:</w:t>
      </w:r>
    </w:p>
    <w:p w:rsidR="00017D33" w:rsidRPr="00017D33" w:rsidRDefault="00017D33" w:rsidP="00017D33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1D3" w:rsidRPr="00017D33" w:rsidRDefault="0057770A" w:rsidP="00017D33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33">
        <w:rPr>
          <w:rFonts w:ascii="Times New Roman" w:hAnsi="Times New Roman" w:cs="Times New Roman"/>
          <w:sz w:val="28"/>
          <w:szCs w:val="28"/>
        </w:rPr>
        <w:t>1. Принять к сведению информацию директора Агентства по науке Республики Тыва Стороженко А.А. об итогах деятельности Агентства по науке Республики Тыва за 2022 год.</w:t>
      </w:r>
    </w:p>
    <w:p w:rsidR="008111D3" w:rsidRPr="00017D33" w:rsidRDefault="0057770A" w:rsidP="00017D33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33">
        <w:rPr>
          <w:rFonts w:ascii="Times New Roman" w:hAnsi="Times New Roman" w:cs="Times New Roman"/>
          <w:sz w:val="28"/>
          <w:szCs w:val="28"/>
        </w:rPr>
        <w:t>2. Определить приоритетными направлениями деятельности Агентства по науке Республики Тыва на 2023 год:</w:t>
      </w:r>
    </w:p>
    <w:p w:rsidR="008111D3" w:rsidRPr="00017D33" w:rsidRDefault="0057770A" w:rsidP="00017D33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33">
        <w:rPr>
          <w:rFonts w:ascii="Times New Roman" w:hAnsi="Times New Roman" w:cs="Times New Roman"/>
          <w:sz w:val="28"/>
          <w:szCs w:val="28"/>
        </w:rPr>
        <w:t>1) формирование эффективной современной системы управления в области науки, технологий и инноваций;</w:t>
      </w:r>
    </w:p>
    <w:p w:rsidR="008111D3" w:rsidRPr="00017D33" w:rsidRDefault="000D2F51" w:rsidP="00017D33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33">
        <w:rPr>
          <w:rFonts w:ascii="Times New Roman" w:hAnsi="Times New Roman" w:cs="Times New Roman"/>
          <w:sz w:val="28"/>
          <w:szCs w:val="28"/>
        </w:rPr>
        <w:t xml:space="preserve">2) </w:t>
      </w:r>
      <w:r w:rsidR="0057770A" w:rsidRPr="00017D33">
        <w:rPr>
          <w:rFonts w:ascii="Times New Roman" w:hAnsi="Times New Roman" w:cs="Times New Roman"/>
          <w:sz w:val="28"/>
          <w:szCs w:val="28"/>
        </w:rPr>
        <w:t>совершенствование условий для научной, научно-технической и инновационной деятельности, повышение востребованности научного потенциала в социально-экономическом развитии Республики Тыва;</w:t>
      </w:r>
    </w:p>
    <w:p w:rsidR="008111D3" w:rsidRPr="00017D33" w:rsidRDefault="0057770A" w:rsidP="00017D33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33">
        <w:rPr>
          <w:rFonts w:ascii="Times New Roman" w:hAnsi="Times New Roman" w:cs="Times New Roman"/>
          <w:sz w:val="28"/>
          <w:szCs w:val="28"/>
        </w:rPr>
        <w:t>3) информационное продвижение науки, популяризация научной, научно-технической и инновационной деятельности в Республике Тыва.</w:t>
      </w:r>
    </w:p>
    <w:p w:rsidR="008111D3" w:rsidRPr="00017D33" w:rsidRDefault="0057770A" w:rsidP="00017D33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33">
        <w:rPr>
          <w:rFonts w:ascii="Times New Roman" w:hAnsi="Times New Roman" w:cs="Times New Roman"/>
          <w:sz w:val="28"/>
          <w:szCs w:val="28"/>
        </w:rPr>
        <w:t>3. Утвердить прилагаемый план мероприятий по реализации приоритетных направлений деятельности Агентства по науке Республики Тыва на 2023 год.</w:t>
      </w:r>
    </w:p>
    <w:p w:rsidR="008111D3" w:rsidRPr="00017D33" w:rsidRDefault="0057770A" w:rsidP="00017D33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33">
        <w:rPr>
          <w:rFonts w:ascii="Times New Roman" w:hAnsi="Times New Roman" w:cs="Times New Roman"/>
          <w:sz w:val="28"/>
          <w:szCs w:val="28"/>
        </w:rPr>
        <w:lastRenderedPageBreak/>
        <w:t>4. Признать утратившим силу постановление Правительства Республики Тыва от 27 мая 2022 г. № 316 «Об итогах деятельности Агентства по науке Республики Тыва за 2021 год и об утверждении приоритетных направлений деятельности на 2022 год».</w:t>
      </w:r>
    </w:p>
    <w:p w:rsidR="008111D3" w:rsidRPr="00017D33" w:rsidRDefault="0057770A" w:rsidP="00017D33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33">
        <w:rPr>
          <w:rFonts w:ascii="Times New Roman" w:hAnsi="Times New Roman" w:cs="Times New Roman"/>
          <w:sz w:val="28"/>
          <w:szCs w:val="28"/>
        </w:rPr>
        <w:t>5. Разместить настоящее постановление на «Официальном интернет-портале правовой информации» (</w:t>
      </w:r>
      <w:hyperlink r:id="rId7">
        <w:r w:rsidRPr="00017D3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Pr="00017D33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8111D3" w:rsidRPr="00017D33" w:rsidRDefault="0057770A" w:rsidP="00017D33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33"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возложить на и.о. заместителя Председателя Правительства Республики Тыва Сарыглара О.Д.</w:t>
      </w:r>
    </w:p>
    <w:p w:rsidR="008111D3" w:rsidRPr="00017D33" w:rsidRDefault="008111D3" w:rsidP="00017D33">
      <w:pPr>
        <w:suppressAutoHyphens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8111D3" w:rsidRDefault="008111D3" w:rsidP="00017D33">
      <w:pPr>
        <w:suppressAutoHyphens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017D33" w:rsidRPr="00017D33" w:rsidRDefault="00017D33" w:rsidP="00017D33">
      <w:pPr>
        <w:suppressAutoHyphens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8111D3" w:rsidRDefault="0057770A" w:rsidP="00017D33">
      <w:pPr>
        <w:suppressAutoHyphens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017D33"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 w:rsidRPr="00017D33">
        <w:rPr>
          <w:rFonts w:ascii="Times New Roman" w:hAnsi="Times New Roman" w:cs="Times New Roman"/>
          <w:sz w:val="28"/>
          <w:szCs w:val="28"/>
        </w:rPr>
        <w:tab/>
      </w:r>
      <w:r w:rsidRPr="00017D3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017D3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17D33">
        <w:rPr>
          <w:rFonts w:ascii="Times New Roman" w:hAnsi="Times New Roman" w:cs="Times New Roman"/>
          <w:sz w:val="28"/>
          <w:szCs w:val="28"/>
        </w:rPr>
        <w:t xml:space="preserve">     В. Ховалыг</w:t>
      </w:r>
      <w:bookmarkEnd w:id="0"/>
    </w:p>
    <w:p w:rsidR="00017D33" w:rsidRDefault="00017D33" w:rsidP="00017D33">
      <w:pPr>
        <w:suppressAutoHyphens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017D33" w:rsidRDefault="00017D33" w:rsidP="00017D33">
      <w:pPr>
        <w:suppressAutoHyphens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017D33" w:rsidRPr="00017D33" w:rsidRDefault="00017D33" w:rsidP="00017D33">
      <w:pPr>
        <w:suppressAutoHyphens w:val="0"/>
        <w:spacing w:after="0" w:line="360" w:lineRule="atLeast"/>
        <w:rPr>
          <w:rFonts w:ascii="Times New Roman" w:hAnsi="Times New Roman" w:cs="Times New Roman"/>
          <w:sz w:val="28"/>
          <w:szCs w:val="28"/>
        </w:rPr>
        <w:sectPr w:rsidR="00017D33" w:rsidRPr="00017D33" w:rsidSect="00017D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80" w:footer="680" w:gutter="0"/>
          <w:pgNumType w:start="1"/>
          <w:cols w:space="720"/>
          <w:formProt w:val="0"/>
          <w:titlePg/>
          <w:docGrid w:linePitch="299" w:charSpace="8192"/>
        </w:sectPr>
      </w:pPr>
    </w:p>
    <w:p w:rsidR="008111D3" w:rsidRPr="00017D33" w:rsidRDefault="0057770A" w:rsidP="00017D33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017D3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17D33" w:rsidRDefault="0057770A" w:rsidP="00017D33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017D3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8111D3" w:rsidRPr="00017D33" w:rsidRDefault="0057770A" w:rsidP="00017D33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017D33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FD1872" w:rsidRDefault="00FD1872" w:rsidP="00FD1872">
      <w:pPr>
        <w:spacing w:after="0" w:line="360" w:lineRule="auto"/>
        <w:ind w:left="1062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17 апреля 2023 г. № 248</w:t>
      </w:r>
    </w:p>
    <w:p w:rsidR="00017D33" w:rsidRPr="00017D33" w:rsidRDefault="00017D33" w:rsidP="00017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D33" w:rsidRPr="00017D33" w:rsidRDefault="00017D33" w:rsidP="00017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3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D3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D3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D33">
        <w:rPr>
          <w:rFonts w:ascii="Times New Roman" w:hAnsi="Times New Roman" w:cs="Times New Roman"/>
          <w:b/>
          <w:sz w:val="28"/>
          <w:szCs w:val="28"/>
        </w:rPr>
        <w:t xml:space="preserve">Н </w:t>
      </w:r>
    </w:p>
    <w:p w:rsidR="00017D33" w:rsidRDefault="0057770A" w:rsidP="00017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D33">
        <w:rPr>
          <w:rFonts w:ascii="Times New Roman" w:hAnsi="Times New Roman" w:cs="Times New Roman"/>
          <w:sz w:val="28"/>
          <w:szCs w:val="28"/>
        </w:rPr>
        <w:t xml:space="preserve">мероприятий по реализации приоритетных направлений деятельности </w:t>
      </w:r>
    </w:p>
    <w:p w:rsidR="008111D3" w:rsidRPr="00017D33" w:rsidRDefault="0057770A" w:rsidP="00017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D33">
        <w:rPr>
          <w:rFonts w:ascii="Times New Roman" w:hAnsi="Times New Roman" w:cs="Times New Roman"/>
          <w:sz w:val="28"/>
          <w:szCs w:val="28"/>
        </w:rPr>
        <w:t>Агентства по науке Республики Тыва на 2023 год</w:t>
      </w:r>
    </w:p>
    <w:p w:rsidR="008111D3" w:rsidRPr="00017D33" w:rsidRDefault="008111D3" w:rsidP="00017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5"/>
        <w:gridCol w:w="1602"/>
        <w:gridCol w:w="5202"/>
        <w:gridCol w:w="5528"/>
      </w:tblGrid>
      <w:tr w:rsidR="00017D33" w:rsidRPr="00017D33" w:rsidTr="005F3613">
        <w:trPr>
          <w:trHeight w:val="20"/>
          <w:tblHeader/>
          <w:jc w:val="center"/>
        </w:trPr>
        <w:tc>
          <w:tcPr>
            <w:tcW w:w="3745" w:type="dxa"/>
          </w:tcPr>
          <w:p w:rsidR="00017D33" w:rsidRPr="00017D33" w:rsidRDefault="00017D33" w:rsidP="00017D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02" w:type="dxa"/>
          </w:tcPr>
          <w:p w:rsidR="00017D33" w:rsidRDefault="00017D33" w:rsidP="00017D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017D33" w:rsidRPr="00017D33" w:rsidRDefault="00017D33" w:rsidP="00017D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5202" w:type="dxa"/>
          </w:tcPr>
          <w:p w:rsidR="00017D33" w:rsidRPr="00017D33" w:rsidRDefault="00017D33" w:rsidP="00017D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5528" w:type="dxa"/>
          </w:tcPr>
          <w:p w:rsidR="00017D33" w:rsidRPr="00017D33" w:rsidRDefault="00D756F9" w:rsidP="00D756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="00017D33" w:rsidRPr="00017D3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</w:tr>
      <w:tr w:rsidR="00017D33" w:rsidRPr="00017D33" w:rsidTr="005F3613">
        <w:trPr>
          <w:trHeight w:val="20"/>
          <w:jc w:val="center"/>
        </w:trPr>
        <w:tc>
          <w:tcPr>
            <w:tcW w:w="16077" w:type="dxa"/>
            <w:gridSpan w:val="4"/>
          </w:tcPr>
          <w:p w:rsidR="00412A0E" w:rsidRDefault="00017D33" w:rsidP="00017D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эффективной современной системы управления в области науки, </w:t>
            </w:r>
          </w:p>
          <w:p w:rsidR="00017D33" w:rsidRPr="00017D33" w:rsidRDefault="00017D33" w:rsidP="00017D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и </w:t>
            </w:r>
            <w:r w:rsidR="00D756F9" w:rsidRPr="00017D33">
              <w:rPr>
                <w:rFonts w:ascii="Times New Roman" w:hAnsi="Times New Roman" w:cs="Times New Roman"/>
                <w:sz w:val="24"/>
                <w:szCs w:val="24"/>
              </w:rPr>
              <w:t>иннова</w:t>
            </w:r>
            <w:r w:rsidR="00D756F9">
              <w:rPr>
                <w:rFonts w:ascii="Times New Roman" w:hAnsi="Times New Roman" w:cs="Times New Roman"/>
                <w:sz w:val="24"/>
                <w:szCs w:val="24"/>
              </w:rPr>
              <w:t xml:space="preserve">ционной деятельности в Республике Тыва </w:t>
            </w:r>
          </w:p>
        </w:tc>
      </w:tr>
      <w:tr w:rsidR="00017D33" w:rsidRPr="00017D33" w:rsidTr="005F3613">
        <w:trPr>
          <w:trHeight w:val="20"/>
          <w:jc w:val="center"/>
        </w:trPr>
        <w:tc>
          <w:tcPr>
            <w:tcW w:w="3745" w:type="dxa"/>
          </w:tcPr>
          <w:p w:rsidR="00017D33" w:rsidRPr="00017D33" w:rsidRDefault="00017D33" w:rsidP="00017D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1.1. Реализация государственной программы Республики Тыва «Развитие науки и инновационной деятельности в Республике Тыва на 2023-2027 годы», утвержденной постановлением Правительства Республики Тыва от 7 декабря 2022 г. № 788</w:t>
            </w:r>
          </w:p>
        </w:tc>
        <w:tc>
          <w:tcPr>
            <w:tcW w:w="1602" w:type="dxa"/>
          </w:tcPr>
          <w:p w:rsidR="00017D33" w:rsidRPr="00017D33" w:rsidRDefault="00017D33" w:rsidP="00017D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02" w:type="dxa"/>
          </w:tcPr>
          <w:p w:rsidR="00017D33" w:rsidRPr="00017D33" w:rsidRDefault="00017D33" w:rsidP="00017D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Агентство по науке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Министерство образования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ФГБОУ ВО «Тувинский государственный университет» (по согласованию), ФГБУН «Тувинский институт комплексного освоения природных ресурсов Сибирского отделения Российской академии наук»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017D33" w:rsidRPr="00017D33" w:rsidRDefault="00017D33" w:rsidP="00017D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17D33" w:rsidRPr="00017D33" w:rsidRDefault="00017D33" w:rsidP="00017D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D756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функционирующих научно-образовательных центров мирового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Республики Тыва –</w:t>
            </w: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единица;</w:t>
            </w:r>
          </w:p>
          <w:p w:rsidR="00017D33" w:rsidRPr="00017D33" w:rsidRDefault="00017D33" w:rsidP="00017D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D756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реализуемых в республике в рамках Научного образовательного центра «Енисейская Сибирь»</w:t>
            </w:r>
            <w:r w:rsidR="00D756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 xml:space="preserve"> (нарастающим 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гом) – 1 единица;</w:t>
            </w:r>
          </w:p>
          <w:p w:rsidR="00017D33" w:rsidRPr="00017D33" w:rsidRDefault="00017D33" w:rsidP="00017D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D756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зарегистрированных объектов интеллектуальной собственности, вошедших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 данных Роспатента</w:t>
            </w:r>
            <w:r w:rsidR="00D756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 единицы;</w:t>
            </w:r>
          </w:p>
          <w:p w:rsidR="00017D33" w:rsidRPr="00017D33" w:rsidRDefault="00017D33" w:rsidP="00017D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D756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поддержанных заявок научных и научно-технологических проектов в региональных, федеральных и международных научных конкурсах от научных коллективов, научных организаций, находящихся в Республике Тыва</w:t>
            </w:r>
            <w:r w:rsidR="00D756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 единиц</w:t>
            </w:r>
          </w:p>
          <w:p w:rsidR="00017D33" w:rsidRPr="00017D33" w:rsidRDefault="00017D33" w:rsidP="00017D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412A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организованных крупных международных и национальных научно-практических мероприятий, способствующих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учной коллаборации</w:t>
            </w:r>
            <w:r w:rsidR="00412A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 xml:space="preserve"> 1 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7D33" w:rsidRPr="00017D33" w:rsidRDefault="00017D33" w:rsidP="00017D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</w:t>
            </w:r>
            <w:r w:rsidR="00412A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 xml:space="preserve"> объявляемых конкурсов, грантов, премий или стипендий для представителей талантливой молодежи и молодых ученых научных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образовательных организаций –</w:t>
            </w: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 xml:space="preserve"> 1 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7D33" w:rsidRPr="00017D33" w:rsidRDefault="00412A0E" w:rsidP="00017D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017D33" w:rsidRPr="00017D33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реализуемых на базе научных организаций и образовательных организаций высшего образования в Республике Тыва, получивших гранты в рамках соглашения между Российским научным фондом и Правительст</w:t>
            </w:r>
            <w:r w:rsidR="00017D33">
              <w:rPr>
                <w:rFonts w:ascii="Times New Roman" w:hAnsi="Times New Roman" w:cs="Times New Roman"/>
                <w:sz w:val="24"/>
                <w:szCs w:val="24"/>
              </w:rPr>
              <w:t>вом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7D33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(ежегодно) – 2 единицы;</w:t>
            </w:r>
          </w:p>
          <w:p w:rsidR="00017D33" w:rsidRPr="00017D33" w:rsidRDefault="00017D33" w:rsidP="00412A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="00412A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исследователей в возрасте до 39 лет включительно в общей численности исследо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вателей в Республике Тыва –</w:t>
            </w: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</w:tr>
      <w:tr w:rsidR="00017D33" w:rsidRPr="00017D33" w:rsidTr="005F3613">
        <w:trPr>
          <w:trHeight w:val="20"/>
          <w:jc w:val="center"/>
        </w:trPr>
        <w:tc>
          <w:tcPr>
            <w:tcW w:w="3745" w:type="dxa"/>
          </w:tcPr>
          <w:p w:rsidR="00017D33" w:rsidRPr="00017D33" w:rsidRDefault="00017D33" w:rsidP="00017D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Совершенствование системы мониторинга и оценки эффективности научной и финансово-экономической деятельности республиканских научных учреждений Тувы и использования их материально-технической базы</w:t>
            </w:r>
          </w:p>
        </w:tc>
        <w:tc>
          <w:tcPr>
            <w:tcW w:w="1602" w:type="dxa"/>
          </w:tcPr>
          <w:p w:rsidR="00017D33" w:rsidRPr="00017D33" w:rsidRDefault="00017D33" w:rsidP="00017D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02" w:type="dxa"/>
          </w:tcPr>
          <w:p w:rsidR="00017D33" w:rsidRPr="00017D33" w:rsidRDefault="00017D33" w:rsidP="00017D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Агентство по науке Республики Тыва, Министерство здравоохранения Республики Тыва, Министерство образования Республики Тыва</w:t>
            </w:r>
          </w:p>
        </w:tc>
        <w:tc>
          <w:tcPr>
            <w:tcW w:w="5528" w:type="dxa"/>
          </w:tcPr>
          <w:p w:rsidR="00017D33" w:rsidRPr="00017D33" w:rsidRDefault="00017D33" w:rsidP="00017D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роведение мониторинга эффективности научной и финансово-экономической деятельности в 4 республиканских научных учреждениях</w:t>
            </w:r>
          </w:p>
        </w:tc>
      </w:tr>
      <w:tr w:rsidR="00017D33" w:rsidRPr="00017D33" w:rsidTr="005F3613">
        <w:trPr>
          <w:trHeight w:val="20"/>
          <w:jc w:val="center"/>
        </w:trPr>
        <w:tc>
          <w:tcPr>
            <w:tcW w:w="16077" w:type="dxa"/>
            <w:gridSpan w:val="4"/>
          </w:tcPr>
          <w:p w:rsidR="00017D33" w:rsidRDefault="00017D33" w:rsidP="00017D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условий для научной, научно-технической и инновационной деятельности, </w:t>
            </w:r>
          </w:p>
          <w:p w:rsidR="00017D33" w:rsidRPr="00017D33" w:rsidRDefault="00017D33" w:rsidP="00017D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повышение востребованности научного потенциала в социально-экономическом развитии Республики Тыва</w:t>
            </w:r>
          </w:p>
        </w:tc>
      </w:tr>
      <w:tr w:rsidR="00017D33" w:rsidRPr="00017D33" w:rsidTr="005F3613">
        <w:trPr>
          <w:trHeight w:val="20"/>
          <w:jc w:val="center"/>
        </w:trPr>
        <w:tc>
          <w:tcPr>
            <w:tcW w:w="3745" w:type="dxa"/>
          </w:tcPr>
          <w:p w:rsidR="00017D33" w:rsidRPr="00017D33" w:rsidRDefault="00017D33" w:rsidP="00017D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2.1. Содействие в реализации научных и инновационных проектов и программ, реализуемых научными коллективами и отдельными учеными</w:t>
            </w:r>
          </w:p>
        </w:tc>
        <w:tc>
          <w:tcPr>
            <w:tcW w:w="1602" w:type="dxa"/>
          </w:tcPr>
          <w:p w:rsidR="00017D33" w:rsidRPr="00017D33" w:rsidRDefault="00017D33" w:rsidP="00017D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02" w:type="dxa"/>
          </w:tcPr>
          <w:p w:rsidR="00017D33" w:rsidRPr="00017D33" w:rsidRDefault="00017D33" w:rsidP="00017D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Агентство по науке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Министерство образования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ФГБОУ ВО «Тувинский государственный университет» 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ФГБУН «Тувинский институт комплексного освоения природных ресурсов Сибирского отделения Российской академии наук» (по согласованию)</w:t>
            </w:r>
          </w:p>
        </w:tc>
        <w:tc>
          <w:tcPr>
            <w:tcW w:w="5528" w:type="dxa"/>
          </w:tcPr>
          <w:p w:rsidR="00017D33" w:rsidRPr="00017D33" w:rsidRDefault="00017D33" w:rsidP="00017D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казание содействия не менее 7 научным и (или) инновационным проектам и (или) программам, реализуемы</w:t>
            </w:r>
            <w:r w:rsidR="00412A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 xml:space="preserve"> научными коллективами и (или)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ельными учеными Республики Тыва</w:t>
            </w:r>
          </w:p>
          <w:p w:rsidR="00017D33" w:rsidRPr="00017D33" w:rsidRDefault="00017D33" w:rsidP="00017D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33" w:rsidRPr="00017D33" w:rsidTr="005F3613">
        <w:trPr>
          <w:trHeight w:val="20"/>
          <w:jc w:val="center"/>
        </w:trPr>
        <w:tc>
          <w:tcPr>
            <w:tcW w:w="3745" w:type="dxa"/>
          </w:tcPr>
          <w:p w:rsidR="00017D33" w:rsidRPr="00017D33" w:rsidRDefault="00017D33" w:rsidP="00017D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Совершенствование системы выявления и поддержки талантливой молодежи (молодых ученых и специалистов) и создание условий для её успешного участия в научной, научно-технологической и инновационной деятельности</w:t>
            </w:r>
          </w:p>
        </w:tc>
        <w:tc>
          <w:tcPr>
            <w:tcW w:w="1602" w:type="dxa"/>
          </w:tcPr>
          <w:p w:rsidR="00017D33" w:rsidRDefault="00017D33" w:rsidP="00017D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E0F29" w:rsidRPr="00017D33" w:rsidRDefault="001E0F29" w:rsidP="00017D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</w:tcPr>
          <w:p w:rsidR="00017D33" w:rsidRPr="00017D33" w:rsidRDefault="00017D33" w:rsidP="00017D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Агентство по науке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экономики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Министерство образования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ФГБОУ ВО «Тувинский государственный университет» 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ФГБУН «Тувинский институт комплексного освоения природных ресурсов Сибирского отделения Российской академии наук» (по согласованию)</w:t>
            </w:r>
          </w:p>
        </w:tc>
        <w:tc>
          <w:tcPr>
            <w:tcW w:w="5528" w:type="dxa"/>
          </w:tcPr>
          <w:p w:rsidR="00017D33" w:rsidRPr="00017D33" w:rsidRDefault="00017D33" w:rsidP="00017D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ктуализация нормативных правовых актов по поддержке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 ученых Республики Тыва;</w:t>
            </w:r>
          </w:p>
          <w:p w:rsidR="00017D33" w:rsidRPr="00017D33" w:rsidRDefault="00017D33" w:rsidP="00017D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роведение не менее 5 мероприятий, направленных на выявление и поддержку талантливой молодежи (молодых ученых и специалистов) Республики Тыва</w:t>
            </w:r>
          </w:p>
        </w:tc>
      </w:tr>
      <w:tr w:rsidR="001E0F29" w:rsidRPr="00017D33" w:rsidTr="005F3613">
        <w:trPr>
          <w:trHeight w:val="20"/>
          <w:jc w:val="center"/>
        </w:trPr>
        <w:tc>
          <w:tcPr>
            <w:tcW w:w="16077" w:type="dxa"/>
            <w:gridSpan w:val="4"/>
          </w:tcPr>
          <w:p w:rsidR="001E0F29" w:rsidRDefault="001E0F29" w:rsidP="001E0F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3. Информационное продвижение науки, популяризация научной, научно-технической</w:t>
            </w:r>
          </w:p>
          <w:p w:rsidR="001E0F29" w:rsidRPr="00017D33" w:rsidRDefault="001E0F29" w:rsidP="001E0F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 xml:space="preserve"> и инновационной деятельности в Республике Тыва</w:t>
            </w:r>
          </w:p>
        </w:tc>
      </w:tr>
      <w:tr w:rsidR="00017D33" w:rsidRPr="00017D33" w:rsidTr="005F3613">
        <w:trPr>
          <w:trHeight w:val="20"/>
          <w:jc w:val="center"/>
        </w:trPr>
        <w:tc>
          <w:tcPr>
            <w:tcW w:w="3745" w:type="dxa"/>
          </w:tcPr>
          <w:p w:rsidR="00017D33" w:rsidRPr="00017D33" w:rsidRDefault="00017D33" w:rsidP="001E0F2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3.1. Поддержка научно-просветительских мероприятий регионального отделения «Знание» (далее – РО «Знание»)</w:t>
            </w:r>
          </w:p>
        </w:tc>
        <w:tc>
          <w:tcPr>
            <w:tcW w:w="1602" w:type="dxa"/>
          </w:tcPr>
          <w:p w:rsidR="00017D33" w:rsidRDefault="00017D33" w:rsidP="001E0F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E0F29" w:rsidRPr="00017D33" w:rsidRDefault="001E0F29" w:rsidP="001E0F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</w:tcPr>
          <w:p w:rsidR="00017D33" w:rsidRPr="00017D33" w:rsidRDefault="00017D33" w:rsidP="001E0F2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Агентство по науке Республики Тыва,</w:t>
            </w:r>
            <w:r w:rsidR="001E0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экономики Республики Тыва,</w:t>
            </w:r>
            <w:r w:rsidR="001E0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Министерство образования Республики Тыва,</w:t>
            </w:r>
            <w:r w:rsidR="001E0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ФГБОУ ВО «Тувинский государственный университет» (по согласованию),</w:t>
            </w:r>
            <w:r w:rsidR="001E0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ФГБУН «Тувинский институт комплексного освоения природных ресурсов Сибирского отделения Российской академии наук» (по согласованию)</w:t>
            </w:r>
          </w:p>
        </w:tc>
        <w:tc>
          <w:tcPr>
            <w:tcW w:w="5528" w:type="dxa"/>
          </w:tcPr>
          <w:p w:rsidR="00017D33" w:rsidRPr="00017D33" w:rsidRDefault="001E0F29" w:rsidP="00017D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17D33" w:rsidRPr="00017D33">
              <w:rPr>
                <w:rFonts w:ascii="Times New Roman" w:hAnsi="Times New Roman" w:cs="Times New Roman"/>
                <w:sz w:val="24"/>
                <w:szCs w:val="24"/>
              </w:rPr>
              <w:t>величение корпуса лекторов, участвующих в научно-просветительских мероприятиях РО «Зна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  <w:r w:rsidR="00412A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50 человек;</w:t>
            </w:r>
          </w:p>
          <w:p w:rsidR="00017D33" w:rsidRPr="00017D33" w:rsidRDefault="001E0F29" w:rsidP="00017D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7D33" w:rsidRPr="00017D33">
              <w:rPr>
                <w:rFonts w:ascii="Times New Roman" w:hAnsi="Times New Roman" w:cs="Times New Roman"/>
                <w:sz w:val="24"/>
                <w:szCs w:val="24"/>
              </w:rPr>
              <w:t>казание содействия не менее 10 научно-просветительским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роприятиям в рамках РО «Знание»;</w:t>
            </w:r>
          </w:p>
          <w:p w:rsidR="00017D33" w:rsidRPr="00017D33" w:rsidRDefault="00017D33" w:rsidP="005F36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412A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научно-просветительских меро</w:t>
            </w:r>
            <w:r w:rsidR="001E0F29">
              <w:rPr>
                <w:rFonts w:ascii="Times New Roman" w:hAnsi="Times New Roman" w:cs="Times New Roman"/>
                <w:sz w:val="24"/>
                <w:szCs w:val="24"/>
              </w:rPr>
              <w:t>прияти</w:t>
            </w:r>
            <w:r w:rsidR="005F361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E0F29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проведенных в рамках </w:t>
            </w: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РО «Знание»</w:t>
            </w:r>
            <w:r w:rsidR="005F36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 xml:space="preserve"> до 300 чел</w:t>
            </w:r>
            <w:r w:rsidR="001E0F29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</w:tr>
      <w:tr w:rsidR="00017D33" w:rsidRPr="00017D33" w:rsidTr="005F3613">
        <w:trPr>
          <w:trHeight w:val="20"/>
          <w:jc w:val="center"/>
        </w:trPr>
        <w:tc>
          <w:tcPr>
            <w:tcW w:w="3745" w:type="dxa"/>
          </w:tcPr>
          <w:p w:rsidR="00017D33" w:rsidRPr="00017D33" w:rsidRDefault="00017D33" w:rsidP="001E0F2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3.2. Участие в реализации мероприятий плана проведения в Российской Федерации</w:t>
            </w:r>
            <w:r w:rsidR="001E0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 xml:space="preserve">Десятилетия науки и технологий, утвержденного распоряжением Правительства </w:t>
            </w:r>
            <w:r w:rsidR="001E0F29" w:rsidRPr="00017D3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 xml:space="preserve"> от 25 июля 2022 г. № 2036-р</w:t>
            </w:r>
          </w:p>
        </w:tc>
        <w:tc>
          <w:tcPr>
            <w:tcW w:w="1602" w:type="dxa"/>
          </w:tcPr>
          <w:p w:rsidR="00017D33" w:rsidRPr="00017D33" w:rsidRDefault="00017D33" w:rsidP="001E0F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02" w:type="dxa"/>
          </w:tcPr>
          <w:p w:rsidR="00017D33" w:rsidRPr="00017D33" w:rsidRDefault="00017D33" w:rsidP="001E0F2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Агентство по науке Республики Тыва,</w:t>
            </w:r>
            <w:r w:rsidR="001E0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экономики Республики Тыва,</w:t>
            </w:r>
            <w:r w:rsidR="001E0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Министерство образования Республики Тыва,</w:t>
            </w:r>
            <w:r w:rsidR="001E0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ФГБОУ ВО «Тувинский государственный университет» (по согласованию),</w:t>
            </w:r>
            <w:r w:rsidR="001E0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D33">
              <w:rPr>
                <w:rFonts w:ascii="Times New Roman" w:hAnsi="Times New Roman" w:cs="Times New Roman"/>
                <w:sz w:val="24"/>
                <w:szCs w:val="24"/>
              </w:rPr>
              <w:t>ФГБУН «Тувинский институт комплексного освоения природных ресурсов Сибирского отделения Российской академии наук» (по согласованию)</w:t>
            </w:r>
          </w:p>
        </w:tc>
        <w:tc>
          <w:tcPr>
            <w:tcW w:w="5528" w:type="dxa"/>
          </w:tcPr>
          <w:p w:rsidR="00017D33" w:rsidRPr="00017D33" w:rsidRDefault="001E0F29" w:rsidP="00017D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7D33" w:rsidRPr="00017D33">
              <w:rPr>
                <w:rFonts w:ascii="Times New Roman" w:hAnsi="Times New Roman" w:cs="Times New Roman"/>
                <w:sz w:val="24"/>
                <w:szCs w:val="24"/>
              </w:rPr>
              <w:t>роведение не менее 3 мероприятий по обеспечению высокого престижа научно-технологической деятельности, формирование понимания ценности результатов интеллектуального труда, повышение восприимчивости общества и экономики к иннова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циям</w:t>
            </w:r>
          </w:p>
          <w:p w:rsidR="00017D33" w:rsidRPr="00017D33" w:rsidRDefault="00017D33" w:rsidP="00017D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1D3" w:rsidRPr="005F3613" w:rsidRDefault="008111D3" w:rsidP="005F3613">
      <w:pPr>
        <w:spacing w:after="0" w:line="240" w:lineRule="auto"/>
        <w:rPr>
          <w:sz w:val="6"/>
        </w:rPr>
      </w:pPr>
    </w:p>
    <w:sectPr w:rsidR="008111D3" w:rsidRPr="005F3613" w:rsidSect="00017D33">
      <w:pgSz w:w="16838" w:h="11906" w:orient="landscape"/>
      <w:pgMar w:top="1134" w:right="567" w:bottom="1134" w:left="567" w:header="680" w:footer="680" w:gutter="0"/>
      <w:pgNumType w:start="1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531" w:rsidRDefault="002B5531" w:rsidP="00017D33">
      <w:pPr>
        <w:spacing w:after="0" w:line="240" w:lineRule="auto"/>
      </w:pPr>
      <w:r>
        <w:separator/>
      </w:r>
    </w:p>
  </w:endnote>
  <w:endnote w:type="continuationSeparator" w:id="0">
    <w:p w:rsidR="002B5531" w:rsidRDefault="002B5531" w:rsidP="0001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01"/>
    <w:family w:val="roman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02" w:rsidRDefault="00FD6402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02" w:rsidRDefault="00FD6402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02" w:rsidRDefault="00FD640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531" w:rsidRDefault="002B5531" w:rsidP="00017D33">
      <w:pPr>
        <w:spacing w:after="0" w:line="240" w:lineRule="auto"/>
      </w:pPr>
      <w:r>
        <w:separator/>
      </w:r>
    </w:p>
  </w:footnote>
  <w:footnote w:type="continuationSeparator" w:id="0">
    <w:p w:rsidR="002B5531" w:rsidRDefault="002B5531" w:rsidP="0001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02" w:rsidRDefault="00FD6402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2257"/>
    </w:sdtPr>
    <w:sdtEndPr>
      <w:rPr>
        <w:rFonts w:ascii="Times New Roman" w:hAnsi="Times New Roman" w:cs="Times New Roman"/>
        <w:sz w:val="24"/>
      </w:rPr>
    </w:sdtEndPr>
    <w:sdtContent>
      <w:p w:rsidR="00017D33" w:rsidRPr="00017D33" w:rsidRDefault="007E172D">
        <w:pPr>
          <w:pStyle w:val="af0"/>
          <w:jc w:val="right"/>
          <w:rPr>
            <w:rFonts w:ascii="Times New Roman" w:hAnsi="Times New Roman" w:cs="Times New Roman"/>
            <w:sz w:val="24"/>
          </w:rPr>
        </w:pPr>
        <w:r w:rsidRPr="00017D33">
          <w:rPr>
            <w:rFonts w:ascii="Times New Roman" w:hAnsi="Times New Roman" w:cs="Times New Roman"/>
            <w:sz w:val="24"/>
          </w:rPr>
          <w:fldChar w:fldCharType="begin"/>
        </w:r>
        <w:r w:rsidR="00017D33" w:rsidRPr="00017D3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17D33">
          <w:rPr>
            <w:rFonts w:ascii="Times New Roman" w:hAnsi="Times New Roman" w:cs="Times New Roman"/>
            <w:sz w:val="24"/>
          </w:rPr>
          <w:fldChar w:fldCharType="separate"/>
        </w:r>
        <w:r w:rsidR="00781C85">
          <w:rPr>
            <w:rFonts w:ascii="Times New Roman" w:hAnsi="Times New Roman" w:cs="Times New Roman"/>
            <w:noProof/>
            <w:sz w:val="24"/>
          </w:rPr>
          <w:t>2</w:t>
        </w:r>
        <w:r w:rsidRPr="00017D3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02" w:rsidRDefault="00FD6402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ab11a8f-0aa5-441b-9641-a7a6b89b72c5"/>
  </w:docVars>
  <w:rsids>
    <w:rsidRoot w:val="008111D3"/>
    <w:rsid w:val="00017D33"/>
    <w:rsid w:val="000D2F51"/>
    <w:rsid w:val="001E0F29"/>
    <w:rsid w:val="002361B1"/>
    <w:rsid w:val="002B3906"/>
    <w:rsid w:val="002B5531"/>
    <w:rsid w:val="0030318D"/>
    <w:rsid w:val="0035419C"/>
    <w:rsid w:val="00412A0E"/>
    <w:rsid w:val="00413A9E"/>
    <w:rsid w:val="004C5D37"/>
    <w:rsid w:val="0057770A"/>
    <w:rsid w:val="005F3613"/>
    <w:rsid w:val="00600C6C"/>
    <w:rsid w:val="00781C85"/>
    <w:rsid w:val="007E172D"/>
    <w:rsid w:val="008111D3"/>
    <w:rsid w:val="00D756F9"/>
    <w:rsid w:val="00DD6CE8"/>
    <w:rsid w:val="00EC1647"/>
    <w:rsid w:val="00FD1872"/>
    <w:rsid w:val="00FD6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644998-C9A1-4D30-8DBC-DDEE4714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DFB"/>
    <w:pPr>
      <w:spacing w:after="160" w:line="264" w:lineRule="auto"/>
    </w:pPr>
    <w:rPr>
      <w:rFonts w:ascii="Calibri" w:eastAsia="Arial Unicode MS" w:hAnsi="Calibri" w:cs="Arial Unicode MS"/>
      <w:color w:val="000000"/>
      <w:szCs w:val="20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862DFB"/>
    <w:pPr>
      <w:keepNext/>
      <w:keepLines/>
      <w:spacing w:before="360" w:after="80"/>
      <w:outlineLvl w:val="1"/>
    </w:pPr>
    <w:rPr>
      <w:rFonts w:eastAsia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862DFB"/>
    <w:rPr>
      <w:rFonts w:ascii="Calibri" w:eastAsia="Times New Roman" w:hAnsi="Calibri" w:cs="Arial Unicode MS"/>
      <w:b/>
      <w:color w:val="000000"/>
      <w:sz w:val="36"/>
      <w:szCs w:val="20"/>
      <w:lang w:eastAsia="zh-CN" w:bidi="hi-IN"/>
    </w:rPr>
  </w:style>
  <w:style w:type="character" w:customStyle="1" w:styleId="a3">
    <w:name w:val="Абзац списка Знак"/>
    <w:link w:val="a4"/>
    <w:qFormat/>
    <w:locked/>
    <w:rsid w:val="00862DFB"/>
  </w:style>
  <w:style w:type="character" w:customStyle="1" w:styleId="-">
    <w:name w:val="Интернет-ссылка"/>
    <w:basedOn w:val="a0"/>
    <w:uiPriority w:val="99"/>
    <w:semiHidden/>
    <w:unhideWhenUsed/>
    <w:rsid w:val="00862DFB"/>
    <w:rPr>
      <w:color w:val="0000FF"/>
      <w:u w:val="single"/>
    </w:rPr>
  </w:style>
  <w:style w:type="character" w:customStyle="1" w:styleId="a5">
    <w:name w:val="Обычный (веб) Знак"/>
    <w:link w:val="a6"/>
    <w:qFormat/>
    <w:rsid w:val="00D8086C"/>
    <w:rPr>
      <w:rFonts w:ascii="Times New Roman" w:hAnsi="Times New Roman"/>
      <w:sz w:val="24"/>
    </w:rPr>
  </w:style>
  <w:style w:type="paragraph" w:styleId="a7">
    <w:name w:val="Title"/>
    <w:basedOn w:val="a"/>
    <w:next w:val="a8"/>
    <w:qFormat/>
    <w:rsid w:val="00EC1647"/>
    <w:pPr>
      <w:keepNext/>
      <w:spacing w:before="240" w:after="120"/>
    </w:pPr>
    <w:rPr>
      <w:rFonts w:ascii="PT Astra Serif" w:hAnsi="PT Astra Serif"/>
      <w:sz w:val="28"/>
      <w:szCs w:val="28"/>
    </w:rPr>
  </w:style>
  <w:style w:type="paragraph" w:styleId="a8">
    <w:name w:val="Body Text"/>
    <w:basedOn w:val="a"/>
    <w:rsid w:val="00EC1647"/>
    <w:pPr>
      <w:spacing w:after="140" w:line="276" w:lineRule="auto"/>
    </w:pPr>
  </w:style>
  <w:style w:type="paragraph" w:styleId="a9">
    <w:name w:val="List"/>
    <w:basedOn w:val="a8"/>
    <w:rsid w:val="00EC1647"/>
    <w:rPr>
      <w:rFonts w:ascii="PT Astra Serif" w:hAnsi="PT Astra Serif"/>
    </w:rPr>
  </w:style>
  <w:style w:type="paragraph" w:styleId="aa">
    <w:name w:val="caption"/>
    <w:basedOn w:val="a"/>
    <w:qFormat/>
    <w:rsid w:val="00EC1647"/>
    <w:pPr>
      <w:suppressLineNumbers/>
      <w:spacing w:before="120" w:after="120"/>
    </w:pPr>
    <w:rPr>
      <w:rFonts w:ascii="PT Astra Serif" w:hAnsi="PT Astra Serif"/>
      <w:i/>
      <w:iCs/>
      <w:sz w:val="24"/>
      <w:szCs w:val="24"/>
    </w:rPr>
  </w:style>
  <w:style w:type="paragraph" w:styleId="ab">
    <w:name w:val="index heading"/>
    <w:basedOn w:val="a"/>
    <w:qFormat/>
    <w:rsid w:val="00EC1647"/>
    <w:pPr>
      <w:suppressLineNumbers/>
    </w:pPr>
    <w:rPr>
      <w:rFonts w:ascii="PT Astra Serif" w:hAnsi="PT Astra Serif"/>
    </w:rPr>
  </w:style>
  <w:style w:type="paragraph" w:styleId="a4">
    <w:name w:val="List Paragraph"/>
    <w:basedOn w:val="a"/>
    <w:link w:val="a3"/>
    <w:uiPriority w:val="34"/>
    <w:qFormat/>
    <w:rsid w:val="00862DFB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paragraph" w:styleId="a6">
    <w:name w:val="Normal (Web)"/>
    <w:basedOn w:val="a"/>
    <w:link w:val="a5"/>
    <w:qFormat/>
    <w:rsid w:val="00D8086C"/>
    <w:pPr>
      <w:spacing w:beforeAutospacing="1" w:afterAutospacing="1" w:line="240" w:lineRule="auto"/>
    </w:pPr>
    <w:rPr>
      <w:rFonts w:ascii="Times New Roman" w:eastAsiaTheme="minorHAnsi" w:hAnsi="Times New Roman" w:cstheme="minorBidi"/>
      <w:color w:val="auto"/>
      <w:sz w:val="24"/>
      <w:szCs w:val="22"/>
      <w:lang w:eastAsia="en-US" w:bidi="ar-SA"/>
    </w:rPr>
  </w:style>
  <w:style w:type="paragraph" w:customStyle="1" w:styleId="westernmrcssattr">
    <w:name w:val="western_mr_css_attr"/>
    <w:basedOn w:val="a"/>
    <w:qFormat/>
    <w:rsid w:val="00D8086C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paragraph" w:customStyle="1" w:styleId="ac">
    <w:name w:val="Содержимое таблицы"/>
    <w:basedOn w:val="a"/>
    <w:qFormat/>
    <w:rsid w:val="00EC1647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EC1647"/>
    <w:pPr>
      <w:jc w:val="center"/>
    </w:pPr>
    <w:rPr>
      <w:b/>
      <w:bCs/>
    </w:rPr>
  </w:style>
  <w:style w:type="table" w:styleId="ae">
    <w:name w:val="Table Grid"/>
    <w:basedOn w:val="a1"/>
    <w:rsid w:val="00D8086C"/>
    <w:rPr>
      <w:color w:val="000000"/>
      <w:szCs w:val="20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017D33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017D33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af1">
    <w:name w:val="Верхний колонтитул Знак"/>
    <w:basedOn w:val="a0"/>
    <w:link w:val="af0"/>
    <w:uiPriority w:val="99"/>
    <w:rsid w:val="00017D33"/>
    <w:rPr>
      <w:rFonts w:ascii="Calibri" w:eastAsia="Arial Unicode MS" w:hAnsi="Calibri" w:cs="Mangal"/>
      <w:color w:val="000000"/>
      <w:szCs w:val="20"/>
      <w:lang w:eastAsia="zh-CN" w:bidi="hi-IN"/>
    </w:rPr>
  </w:style>
  <w:style w:type="paragraph" w:styleId="af2">
    <w:name w:val="footer"/>
    <w:basedOn w:val="a"/>
    <w:link w:val="af3"/>
    <w:uiPriority w:val="99"/>
    <w:semiHidden/>
    <w:unhideWhenUsed/>
    <w:rsid w:val="00017D33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017D33"/>
    <w:rPr>
      <w:rFonts w:ascii="Calibri" w:eastAsia="Arial Unicode MS" w:hAnsi="Calibri" w:cs="Mangal"/>
      <w:color w:val="000000"/>
      <w:szCs w:val="20"/>
      <w:lang w:eastAsia="zh-CN" w:bidi="hi-IN"/>
    </w:rPr>
  </w:style>
  <w:style w:type="paragraph" w:styleId="af4">
    <w:name w:val="Balloon Text"/>
    <w:basedOn w:val="a"/>
    <w:link w:val="af5"/>
    <w:uiPriority w:val="99"/>
    <w:semiHidden/>
    <w:unhideWhenUsed/>
    <w:rsid w:val="00D756F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D756F9"/>
    <w:rPr>
      <w:rFonts w:ascii="Tahoma" w:eastAsia="Arial Unicode MS" w:hAnsi="Tahoma" w:cs="Mangal"/>
      <w:color w:val="000000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14166-4BBE-4C67-87CF-03DA15CB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1171164</dc:creator>
  <dc:description/>
  <cp:lastModifiedBy>Тас-оол Оксана Всеволодовна</cp:lastModifiedBy>
  <cp:revision>2</cp:revision>
  <cp:lastPrinted>2023-04-18T04:39:00Z</cp:lastPrinted>
  <dcterms:created xsi:type="dcterms:W3CDTF">2023-04-18T04:39:00Z</dcterms:created>
  <dcterms:modified xsi:type="dcterms:W3CDTF">2023-04-18T04:39:00Z</dcterms:modified>
  <dc:language>ru-RU</dc:language>
</cp:coreProperties>
</file>