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88" w:rsidRDefault="00971F88" w:rsidP="00971F8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71F88" w:rsidRDefault="00971F88" w:rsidP="00971F8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71F88" w:rsidRDefault="00971F88" w:rsidP="00971F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1F88" w:rsidRPr="005347C3" w:rsidRDefault="00971F88" w:rsidP="00971F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71F88" w:rsidRPr="004C14FF" w:rsidRDefault="00971F88" w:rsidP="00971F8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472D72" w:rsidRDefault="00472D72" w:rsidP="00472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D72" w:rsidRDefault="00810758" w:rsidP="008107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марта 2023 г. № 105-р</w:t>
      </w:r>
    </w:p>
    <w:p w:rsidR="00810758" w:rsidRDefault="00810758" w:rsidP="008107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37238" w:rsidRDefault="00937238" w:rsidP="00472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2D72">
        <w:rPr>
          <w:rFonts w:ascii="Times New Roman" w:hAnsi="Times New Roman" w:cs="Times New Roman"/>
          <w:b/>
          <w:sz w:val="28"/>
          <w:szCs w:val="28"/>
        </w:rPr>
        <w:t>Об одобрении долгосрочного прогноза</w:t>
      </w:r>
    </w:p>
    <w:p w:rsidR="00472D72" w:rsidRDefault="00472D72" w:rsidP="00472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72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</w:p>
    <w:p w:rsidR="00472D72" w:rsidRPr="00472D72" w:rsidRDefault="00472D72" w:rsidP="00472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72">
        <w:rPr>
          <w:rFonts w:ascii="Times New Roman" w:hAnsi="Times New Roman" w:cs="Times New Roman"/>
          <w:b/>
          <w:sz w:val="28"/>
          <w:szCs w:val="28"/>
        </w:rPr>
        <w:t xml:space="preserve">Республики Тыва на период до 2035 года </w:t>
      </w:r>
    </w:p>
    <w:bookmarkEnd w:id="0"/>
    <w:p w:rsidR="00472D72" w:rsidRPr="00937238" w:rsidRDefault="00472D72" w:rsidP="00472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D72" w:rsidRPr="00937238" w:rsidRDefault="00472D72" w:rsidP="00472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D72" w:rsidRPr="00AD5FF9" w:rsidRDefault="00472D72" w:rsidP="00472D72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D7267">
        <w:rPr>
          <w:rFonts w:ascii="Times New Roman" w:hAnsi="Times New Roman"/>
          <w:sz w:val="28"/>
          <w:szCs w:val="28"/>
        </w:rPr>
        <w:t xml:space="preserve"> соответствии </w:t>
      </w:r>
      <w:r w:rsidRPr="00AD5FF9">
        <w:rPr>
          <w:rFonts w:ascii="Times New Roman" w:hAnsi="Times New Roman"/>
          <w:sz w:val="28"/>
          <w:szCs w:val="28"/>
        </w:rPr>
        <w:t xml:space="preserve">со </w:t>
      </w:r>
      <w:r w:rsidRPr="00542CAA">
        <w:rPr>
          <w:rFonts w:ascii="Times New Roman" w:hAnsi="Times New Roman"/>
          <w:sz w:val="28"/>
          <w:szCs w:val="28"/>
        </w:rPr>
        <w:t>статьей 173 Бюджетного</w:t>
      </w:r>
      <w:r w:rsidRPr="00AD5FF9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>, статьей 33 Федерального закона от 28 июня 2014 г. № 172-ФЗ «О стратегическом</w:t>
      </w:r>
      <w:r w:rsidR="006513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планировании в Российской Федерации», статьей 9 Закона Республики Тыва от                  11 апреля 2016 г. № 160-ЗРТ «О стратегическом планировании в Республике Тыва», постановлением Правительства Республики Тыва от 2 ноября 2015 г. № 506 «Об утверждении Порядка разработки и корректировки прогноза социально-экономического развития Республики  Тыва на долгосрочный период»:</w:t>
      </w:r>
    </w:p>
    <w:p w:rsidR="00472D72" w:rsidRPr="00880090" w:rsidRDefault="00472D72" w:rsidP="00937238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72D72" w:rsidRPr="00AD5FF9" w:rsidRDefault="00472D72" w:rsidP="00472D72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AD5FF9">
        <w:rPr>
          <w:rFonts w:ascii="Times New Roman" w:hAnsi="Times New Roman" w:cs="Times New Roman"/>
          <w:sz w:val="28"/>
        </w:rPr>
        <w:t>Утвердить прилагаемы</w:t>
      </w:r>
      <w:r>
        <w:rPr>
          <w:rFonts w:ascii="Times New Roman" w:hAnsi="Times New Roman" w:cs="Times New Roman"/>
          <w:sz w:val="28"/>
        </w:rPr>
        <w:t>й долгосрочный прогноз</w:t>
      </w:r>
      <w:r w:rsidRPr="00AD5FF9">
        <w:rPr>
          <w:rFonts w:ascii="Times New Roman" w:hAnsi="Times New Roman" w:cs="Times New Roman"/>
          <w:sz w:val="28"/>
        </w:rPr>
        <w:t xml:space="preserve"> социально-экономического развития Республики Тыва </w:t>
      </w:r>
      <w:r>
        <w:rPr>
          <w:rFonts w:ascii="Times New Roman" w:hAnsi="Times New Roman" w:cs="Times New Roman"/>
          <w:sz w:val="28"/>
        </w:rPr>
        <w:t>на период до 2035 года</w:t>
      </w:r>
      <w:r w:rsidRPr="00AD5FF9">
        <w:rPr>
          <w:rFonts w:ascii="Times New Roman" w:hAnsi="Times New Roman" w:cs="Times New Roman"/>
          <w:sz w:val="28"/>
        </w:rPr>
        <w:t>.</w:t>
      </w:r>
    </w:p>
    <w:p w:rsidR="00472D72" w:rsidRDefault="00472D72" w:rsidP="00472D72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Органам исполнительной власти Республики Тыва принять меры по достижению показателей долгосрочного прогноза </w:t>
      </w:r>
      <w:r w:rsidRPr="00AD5FF9">
        <w:rPr>
          <w:rFonts w:ascii="Times New Roman" w:hAnsi="Times New Roman" w:cs="Times New Roman"/>
          <w:sz w:val="28"/>
        </w:rPr>
        <w:t>социально-экономического развития Республики Тыва</w:t>
      </w:r>
      <w:r>
        <w:rPr>
          <w:rFonts w:ascii="Times New Roman" w:hAnsi="Times New Roman" w:cs="Times New Roman"/>
          <w:sz w:val="28"/>
        </w:rPr>
        <w:t>.</w:t>
      </w:r>
    </w:p>
    <w:p w:rsidR="00472D72" w:rsidRDefault="00472D72" w:rsidP="00472D72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AD5FF9">
        <w:rPr>
          <w:rFonts w:ascii="Times New Roman" w:hAnsi="Times New Roman" w:cs="Times New Roman"/>
          <w:sz w:val="28"/>
        </w:rPr>
        <w:t xml:space="preserve"> </w:t>
      </w:r>
      <w:r w:rsidRPr="00AD5FF9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«Официальном интернет-портале правовой информации» (www.pravo.gov.ru) и официальном сайте Республики Тыва в </w:t>
      </w:r>
      <w:r w:rsidRPr="00AD5FF9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937238" w:rsidRDefault="00937238" w:rsidP="00937238">
      <w:pPr>
        <w:tabs>
          <w:tab w:val="left" w:pos="709"/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</w:rPr>
      </w:pPr>
    </w:p>
    <w:p w:rsidR="00937238" w:rsidRDefault="00937238" w:rsidP="00937238">
      <w:pPr>
        <w:tabs>
          <w:tab w:val="left" w:pos="709"/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</w:rPr>
      </w:pPr>
    </w:p>
    <w:p w:rsidR="00651388" w:rsidRDefault="00651388" w:rsidP="00937238">
      <w:pPr>
        <w:tabs>
          <w:tab w:val="left" w:pos="709"/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</w:rPr>
      </w:pPr>
    </w:p>
    <w:p w:rsidR="00971F88" w:rsidRPr="00937238" w:rsidRDefault="00971F88" w:rsidP="00937238">
      <w:pPr>
        <w:tabs>
          <w:tab w:val="left" w:pos="709"/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</w:rPr>
      </w:pPr>
    </w:p>
    <w:p w:rsidR="00472D72" w:rsidRPr="001D402B" w:rsidRDefault="00472D72" w:rsidP="00472D72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1D402B">
        <w:rPr>
          <w:rFonts w:ascii="Times New Roman" w:hAnsi="Times New Roman" w:cs="Times New Roman"/>
          <w:sz w:val="28"/>
        </w:rPr>
        <w:lastRenderedPageBreak/>
        <w:t>Контроль за исполнением</w:t>
      </w:r>
      <w:r>
        <w:rPr>
          <w:rFonts w:ascii="Times New Roman" w:hAnsi="Times New Roman" w:cs="Times New Roman"/>
          <w:sz w:val="28"/>
        </w:rPr>
        <w:t xml:space="preserve"> настоящего</w:t>
      </w:r>
      <w:r w:rsidRPr="001D402B">
        <w:rPr>
          <w:rFonts w:ascii="Times New Roman" w:hAnsi="Times New Roman" w:cs="Times New Roman"/>
          <w:sz w:val="28"/>
        </w:rPr>
        <w:t xml:space="preserve"> распоряжения</w:t>
      </w:r>
      <w:r w:rsidRPr="001D402B">
        <w:rPr>
          <w:rFonts w:ascii="Times New Roman" w:hAnsi="Times New Roman" w:cs="Times New Roman" w:hint="eastAsia"/>
          <w:sz w:val="28"/>
        </w:rPr>
        <w:t xml:space="preserve"> </w:t>
      </w:r>
      <w:r w:rsidRPr="001D402B">
        <w:rPr>
          <w:rFonts w:ascii="Times New Roman" w:hAnsi="Times New Roman" w:cs="Times New Roman"/>
          <w:sz w:val="28"/>
        </w:rPr>
        <w:t>возложить на</w:t>
      </w:r>
      <w:r>
        <w:rPr>
          <w:rFonts w:ascii="Times New Roman" w:hAnsi="Times New Roman" w:cs="Times New Roman"/>
          <w:sz w:val="28"/>
        </w:rPr>
        <w:t xml:space="preserve"> </w:t>
      </w:r>
      <w:r w:rsidR="0093723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</w:t>
      </w:r>
      <w:r w:rsidR="00810758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вого</w:t>
      </w:r>
      <w:r w:rsidRPr="001D402B">
        <w:rPr>
          <w:rFonts w:ascii="Times New Roman" w:hAnsi="Times New Roman" w:cs="Times New Roman"/>
          <w:sz w:val="28"/>
        </w:rPr>
        <w:t xml:space="preserve"> заместителя председателя Пр</w:t>
      </w:r>
      <w:r>
        <w:rPr>
          <w:rFonts w:ascii="Times New Roman" w:hAnsi="Times New Roman" w:cs="Times New Roman"/>
          <w:sz w:val="28"/>
        </w:rPr>
        <w:t>авительства Республики Тыва Донских</w:t>
      </w:r>
      <w:r w:rsidRPr="00472D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В.А.</w:t>
      </w:r>
    </w:p>
    <w:p w:rsidR="00937238" w:rsidRDefault="00937238" w:rsidP="00937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7238" w:rsidRDefault="00937238" w:rsidP="00937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7238" w:rsidRPr="00194FCC" w:rsidRDefault="00937238" w:rsidP="00937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D72" w:rsidRPr="0038053F" w:rsidRDefault="00472D72" w:rsidP="00937238">
      <w:pPr>
        <w:pStyle w:val="ConsPlusNormal"/>
        <w:jc w:val="both"/>
        <w:rPr>
          <w:sz w:val="28"/>
          <w:szCs w:val="28"/>
        </w:rPr>
      </w:pPr>
      <w:r w:rsidRPr="0038053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</w:t>
      </w:r>
      <w:r w:rsidR="00937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0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 </w:t>
      </w:r>
      <w:proofErr w:type="spellStart"/>
      <w:r w:rsidRPr="0038053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E6B48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E6B48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E6B48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E6B48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E6B48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E6B48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E6B48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  <w:sectPr w:rsidR="00CE6B48" w:rsidSect="005277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567" w:footer="624" w:gutter="0"/>
          <w:cols w:space="708"/>
          <w:titlePg/>
          <w:docGrid w:linePitch="360"/>
        </w:sectPr>
      </w:pPr>
    </w:p>
    <w:p w:rsidR="00CE6B48" w:rsidRPr="00025409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6B48" w:rsidRPr="00025409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</w:t>
      </w:r>
    </w:p>
    <w:p w:rsidR="00810758" w:rsidRDefault="00810758" w:rsidP="00810758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3 марта 2023 г. № 105-р</w:t>
      </w:r>
    </w:p>
    <w:p w:rsidR="00CE6B48" w:rsidRPr="00025409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E6B48" w:rsidRPr="00025409" w:rsidRDefault="00CE6B48" w:rsidP="00CE6B4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040677" w:rsidRPr="00025409" w:rsidRDefault="00040677" w:rsidP="009372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09">
        <w:rPr>
          <w:rFonts w:ascii="Times New Roman" w:hAnsi="Times New Roman" w:cs="Times New Roman"/>
          <w:b/>
          <w:sz w:val="28"/>
          <w:szCs w:val="28"/>
        </w:rPr>
        <w:t xml:space="preserve">ДОЛГОСРОЧНЫЙ ПРОГНОЗ </w:t>
      </w:r>
    </w:p>
    <w:p w:rsidR="00040677" w:rsidRPr="00025409" w:rsidRDefault="00040677" w:rsidP="009372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040677" w:rsidRPr="00025409" w:rsidRDefault="00040677" w:rsidP="009372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Республики Тыва на период до 2035 года</w:t>
      </w:r>
    </w:p>
    <w:p w:rsidR="00040677" w:rsidRPr="00025409" w:rsidRDefault="00040677" w:rsidP="009372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0677" w:rsidRPr="00025409" w:rsidRDefault="00040677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Прогноз долгосрочного социально-экономического развития Республики Тыва на период до 2035 года (далее – долгосрочный прогноз) является одним из основных документов стратегического планирования развития Республики Тыва. Он определяет направления и ожидаемые результаты социально-экономического развития в долгосрочной перспективе и используется при разработке стратегий, государственных программ, а также прогнозных документов среднесрочного характера.</w:t>
      </w:r>
    </w:p>
    <w:p w:rsidR="00F644A6" w:rsidRPr="00025409" w:rsidRDefault="00F644A6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Долгосрочный прогноз разработан на основе прогноза социально-экономического развития Российской Федерации на период до 2036 года, Стратегии социально-экономического развития Республики Тыва до 2030 года, среднесрочного прогноза социально-экономического развития Республики Тыва на период до 2025 года, Индивидуальной программы социально-экономического развития Республики Тыва на 2021-2024 годы, статистических показателей за предыдущие годы с учетом необходимости достижения национальных целей развития страны, сформулированных в Указе Президента Российской Федерации от 21 июля 2020 г. № 474 «О национальных целях развития Российской Федерации на период до 2030 года».</w:t>
      </w:r>
    </w:p>
    <w:p w:rsidR="00F644A6" w:rsidRPr="00025409" w:rsidRDefault="00F644A6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Долгосрочный прогноз разработан в двух вариантах:</w:t>
      </w:r>
      <w:r w:rsidRPr="00025409">
        <w:rPr>
          <w:rFonts w:ascii="Times New Roman" w:hAnsi="Times New Roman" w:cs="Times New Roman"/>
          <w:bCs/>
          <w:sz w:val="28"/>
          <w:szCs w:val="28"/>
        </w:rPr>
        <w:t xml:space="preserve"> консервативный и базовый.</w:t>
      </w:r>
    </w:p>
    <w:p w:rsidR="00F644A6" w:rsidRPr="00025409" w:rsidRDefault="00F644A6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>Консервативный вариант (вариант 1) основан на предпосылке о более существенном замедлении роста экономики под влиянием экономических</w:t>
      </w:r>
      <w:r w:rsidR="001E5082">
        <w:rPr>
          <w:rFonts w:ascii="Times New Roman" w:hAnsi="Times New Roman" w:cs="Times New Roman"/>
          <w:bCs/>
          <w:sz w:val="28"/>
          <w:szCs w:val="28"/>
        </w:rPr>
        <w:t>,</w:t>
      </w:r>
      <w:r w:rsidRPr="00025409">
        <w:rPr>
          <w:rFonts w:ascii="Times New Roman" w:hAnsi="Times New Roman" w:cs="Times New Roman"/>
          <w:bCs/>
          <w:sz w:val="28"/>
          <w:szCs w:val="28"/>
        </w:rPr>
        <w:t xml:space="preserve"> эпидемиологических и внешнеполитических факторов. Кроме того, предполагаются более умеренные эффекты от реализации мер экономической политики.</w:t>
      </w:r>
    </w:p>
    <w:p w:rsidR="00F644A6" w:rsidRPr="00025409" w:rsidRDefault="00F644A6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 xml:space="preserve">Базовый вариант (вариант 2) характеризует основные тенденции и параметры развития экономики с учетом ожидаемых благоприятных внешних условий, реализации принимаемых мер экономической политики, направленных на достижение национальных целей развития, и своевременной реализации региональных проектов. </w:t>
      </w:r>
    </w:p>
    <w:p w:rsidR="00F644A6" w:rsidRPr="00025409" w:rsidRDefault="00F644A6" w:rsidP="00937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 xml:space="preserve">В долгосрочной перспективе развитие экономики республики будет определяться следующими основными тенденциями: </w:t>
      </w:r>
    </w:p>
    <w:p w:rsidR="00F644A6" w:rsidRPr="00025409" w:rsidRDefault="00F644A6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макроэкономическая стабильность, включающая сохранение бюджетной устойчивости в долгосрочной перспективе, повышение эффективности социальных расходов, расходов инвестиционного характера;</w:t>
      </w:r>
    </w:p>
    <w:p w:rsidR="00F644A6" w:rsidRPr="00025409" w:rsidRDefault="00F644A6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 xml:space="preserve">увеличение численности населения; </w:t>
      </w:r>
    </w:p>
    <w:p w:rsidR="00F644A6" w:rsidRPr="00025409" w:rsidRDefault="00F644A6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>модернизация транспортной и энергетической инфраструктуры;</w:t>
      </w:r>
    </w:p>
    <w:p w:rsidR="00642472" w:rsidRPr="00025409" w:rsidRDefault="00642472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>повышение транспортной доступности;</w:t>
      </w:r>
    </w:p>
    <w:p w:rsidR="00BC571D" w:rsidRPr="00025409" w:rsidRDefault="00BC571D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5A20FE" w:rsidRPr="00025409">
        <w:rPr>
          <w:rFonts w:ascii="Times New Roman" w:hAnsi="Times New Roman" w:cs="Times New Roman"/>
          <w:bCs/>
          <w:sz w:val="28"/>
          <w:szCs w:val="28"/>
        </w:rPr>
        <w:t>крупных инвестиционных проектов;</w:t>
      </w:r>
    </w:p>
    <w:p w:rsidR="00F644A6" w:rsidRPr="00025409" w:rsidRDefault="00F644A6" w:rsidP="000254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lastRenderedPageBreak/>
        <w:t>повышение эффективности производственного потенциала в результате внедрения современных технологий;</w:t>
      </w:r>
    </w:p>
    <w:p w:rsidR="00F644A6" w:rsidRPr="00025409" w:rsidRDefault="00F644A6" w:rsidP="000254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>развитие институтов, определяющих предпринимательскую и инвестиционную активность;</w:t>
      </w:r>
    </w:p>
    <w:p w:rsidR="00F644A6" w:rsidRPr="00025409" w:rsidRDefault="00F644A6" w:rsidP="000254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 xml:space="preserve">повышение предпринимательской активности и развитие социальной сферы; </w:t>
      </w:r>
    </w:p>
    <w:p w:rsidR="00F644A6" w:rsidRPr="00025409" w:rsidRDefault="00F644A6" w:rsidP="000254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>повышение качества человеческого капитала и укрепление доверия в обществе.</w:t>
      </w:r>
    </w:p>
    <w:p w:rsidR="00040677" w:rsidRPr="00025409" w:rsidRDefault="00040677" w:rsidP="00025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77" w:rsidRPr="00025409" w:rsidRDefault="00040677" w:rsidP="000254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40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25409">
        <w:rPr>
          <w:rFonts w:ascii="Times New Roman" w:eastAsia="Calibri" w:hAnsi="Times New Roman" w:cs="Times New Roman"/>
          <w:sz w:val="28"/>
          <w:szCs w:val="28"/>
        </w:rPr>
        <w:t>. Основные тенденции социально-экономического</w:t>
      </w:r>
    </w:p>
    <w:p w:rsidR="00040677" w:rsidRPr="00025409" w:rsidRDefault="00040677" w:rsidP="000254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409">
        <w:rPr>
          <w:rFonts w:ascii="Times New Roman" w:eastAsia="Calibri" w:hAnsi="Times New Roman" w:cs="Times New Roman"/>
          <w:sz w:val="28"/>
          <w:szCs w:val="28"/>
        </w:rPr>
        <w:t>развития Республики Тыва</w:t>
      </w:r>
    </w:p>
    <w:p w:rsidR="00040677" w:rsidRPr="00025409" w:rsidRDefault="00040677" w:rsidP="00025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BB1" w:rsidRPr="00025409" w:rsidRDefault="00B10BB1" w:rsidP="00937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инфекции и введением мер по ее ограничению в 2021 году в Республике Тыва, как и в России в целом, наблюдалась сдержанная динамика экономического роста. По итогам 2021 года </w:t>
      </w:r>
      <w:r w:rsidR="00A350F6" w:rsidRPr="00025409">
        <w:rPr>
          <w:rFonts w:ascii="Times New Roman" w:hAnsi="Times New Roman" w:cs="Times New Roman"/>
          <w:sz w:val="28"/>
          <w:szCs w:val="28"/>
        </w:rPr>
        <w:t xml:space="preserve">индекс объема </w:t>
      </w:r>
      <w:r w:rsidRPr="00025409">
        <w:rPr>
          <w:rFonts w:ascii="Times New Roman" w:hAnsi="Times New Roman" w:cs="Times New Roman"/>
          <w:sz w:val="28"/>
          <w:szCs w:val="28"/>
        </w:rPr>
        <w:t>в</w:t>
      </w:r>
      <w:r w:rsidR="00A830FB" w:rsidRPr="00025409">
        <w:rPr>
          <w:rFonts w:ascii="Times New Roman" w:hAnsi="Times New Roman" w:cs="Times New Roman"/>
          <w:sz w:val="28"/>
          <w:szCs w:val="28"/>
        </w:rPr>
        <w:t>алового регионального продукта о</w:t>
      </w:r>
      <w:r w:rsidR="00A350F6" w:rsidRPr="00025409">
        <w:rPr>
          <w:rFonts w:ascii="Times New Roman" w:hAnsi="Times New Roman" w:cs="Times New Roman"/>
          <w:sz w:val="28"/>
          <w:szCs w:val="28"/>
        </w:rPr>
        <w:t xml:space="preserve">жидается на уровне </w:t>
      </w:r>
      <w:r w:rsidRPr="00025409">
        <w:rPr>
          <w:rFonts w:ascii="Times New Roman" w:hAnsi="Times New Roman" w:cs="Times New Roman"/>
          <w:sz w:val="28"/>
          <w:szCs w:val="28"/>
        </w:rPr>
        <w:t>1</w:t>
      </w:r>
      <w:r w:rsidR="00A350F6" w:rsidRPr="00025409">
        <w:rPr>
          <w:rFonts w:ascii="Times New Roman" w:hAnsi="Times New Roman" w:cs="Times New Roman"/>
          <w:sz w:val="28"/>
          <w:szCs w:val="28"/>
        </w:rPr>
        <w:t xml:space="preserve">00 процентов </w:t>
      </w:r>
      <w:r w:rsidRPr="00025409">
        <w:rPr>
          <w:rFonts w:ascii="Times New Roman" w:hAnsi="Times New Roman" w:cs="Times New Roman"/>
          <w:sz w:val="28"/>
          <w:szCs w:val="28"/>
        </w:rPr>
        <w:t>к уровню предыдущего</w:t>
      </w:r>
      <w:r w:rsidR="00A350F6" w:rsidRPr="00025409">
        <w:rPr>
          <w:rFonts w:ascii="Times New Roman" w:hAnsi="Times New Roman" w:cs="Times New Roman"/>
          <w:sz w:val="28"/>
          <w:szCs w:val="28"/>
        </w:rPr>
        <w:t xml:space="preserve"> года и составит 86,6 млрд. руб. </w:t>
      </w:r>
    </w:p>
    <w:p w:rsidR="00A350F6" w:rsidRPr="00025409" w:rsidRDefault="00A350F6" w:rsidP="00937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 xml:space="preserve">Принимаемые ограничительные мероприятия негативно сказались на отдельных видах деятельности, но в целом по итогам 2021 года отмечается улучшение динамики основных макроэкономических показателей, достигается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допандемийный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уровень (промышленность, розничная торговля, рынок платных услуг населению).</w:t>
      </w:r>
    </w:p>
    <w:p w:rsidR="00A350F6" w:rsidRPr="00025409" w:rsidRDefault="00A350F6" w:rsidP="009372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2021 года в рейтинге социально-экономического положения субъектов Российской Федерации республика поднялась на </w:t>
      </w:r>
      <w:r w:rsidR="001E5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 и находится на 83 месте. </w:t>
      </w:r>
    </w:p>
    <w:p w:rsidR="00125DF7" w:rsidRPr="00025409" w:rsidRDefault="00A350F6" w:rsidP="00937238">
      <w:pPr>
        <w:pStyle w:val="text"/>
        <w:spacing w:line="240" w:lineRule="auto"/>
        <w:ind w:left="0" w:right="0" w:firstLine="709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</w:t>
      </w:r>
      <w:r w:rsidR="002E3579" w:rsidRPr="00025409">
        <w:rPr>
          <w:rFonts w:ascii="Times New Roman" w:hAnsi="Times New Roman" w:cs="Times New Roman"/>
          <w:sz w:val="28"/>
          <w:szCs w:val="28"/>
        </w:rPr>
        <w:t xml:space="preserve">по итогам 2021 года </w:t>
      </w:r>
      <w:r w:rsidRPr="00025409">
        <w:rPr>
          <w:rFonts w:ascii="Times New Roman" w:hAnsi="Times New Roman" w:cs="Times New Roman"/>
          <w:sz w:val="28"/>
          <w:szCs w:val="28"/>
        </w:rPr>
        <w:t>составил 106,3 процента (2020 г.</w:t>
      </w:r>
      <w:r w:rsidR="00025409">
        <w:rPr>
          <w:rFonts w:ascii="Times New Roman" w:hAnsi="Times New Roman" w:cs="Times New Roman"/>
          <w:sz w:val="28"/>
          <w:szCs w:val="28"/>
        </w:rPr>
        <w:t xml:space="preserve"> –</w:t>
      </w:r>
      <w:r w:rsidRPr="00025409">
        <w:rPr>
          <w:rFonts w:ascii="Times New Roman" w:hAnsi="Times New Roman" w:cs="Times New Roman"/>
          <w:sz w:val="28"/>
          <w:szCs w:val="28"/>
        </w:rPr>
        <w:t xml:space="preserve"> 63,3</w:t>
      </w:r>
      <w:r w:rsidR="0002540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25409">
        <w:rPr>
          <w:rFonts w:ascii="Times New Roman" w:hAnsi="Times New Roman" w:cs="Times New Roman"/>
          <w:sz w:val="28"/>
          <w:szCs w:val="28"/>
        </w:rPr>
        <w:t>)</w:t>
      </w:r>
      <w:r w:rsidR="00565537" w:rsidRPr="00025409">
        <w:rPr>
          <w:rFonts w:ascii="Times New Roman" w:hAnsi="Times New Roman" w:cs="Times New Roman"/>
          <w:sz w:val="28"/>
          <w:szCs w:val="28"/>
        </w:rPr>
        <w:t>,</w:t>
      </w:r>
      <w:r w:rsidR="00565537" w:rsidRPr="00025409">
        <w:rPr>
          <w:rFonts w:ascii="Times New Roman" w:eastAsiaTheme="minorEastAsia" w:hAnsi="Times New Roman" w:cs="Times New Roman"/>
          <w:sz w:val="28"/>
          <w:szCs w:val="28"/>
        </w:rPr>
        <w:t xml:space="preserve"> объем отгруженной продукции – 27465 </w:t>
      </w:r>
      <w:r w:rsidR="00565537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>млрд.</w:t>
      </w:r>
      <w:r w:rsidR="00565537" w:rsidRPr="000254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5537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>рублей</w:t>
      </w:r>
      <w:r w:rsidRPr="00025409">
        <w:rPr>
          <w:rFonts w:ascii="Times New Roman" w:hAnsi="Times New Roman" w:cs="Times New Roman"/>
          <w:sz w:val="28"/>
          <w:szCs w:val="28"/>
        </w:rPr>
        <w:t xml:space="preserve"> с учетом влияния добывающей отрасли промышленност</w:t>
      </w:r>
      <w:r w:rsidR="00565537" w:rsidRPr="00025409">
        <w:rPr>
          <w:rFonts w:ascii="Times New Roman" w:hAnsi="Times New Roman" w:cs="Times New Roman"/>
          <w:sz w:val="28"/>
          <w:szCs w:val="28"/>
        </w:rPr>
        <w:t>и, которая занимает порядка 75 процентов</w:t>
      </w:r>
      <w:r w:rsidRPr="00025409">
        <w:rPr>
          <w:rFonts w:ascii="Times New Roman" w:hAnsi="Times New Roman" w:cs="Times New Roman"/>
          <w:sz w:val="28"/>
          <w:szCs w:val="28"/>
        </w:rPr>
        <w:t xml:space="preserve"> в промышленном производстве.</w:t>
      </w:r>
      <w:r w:rsidR="00565537" w:rsidRPr="00025409">
        <w:rPr>
          <w:rFonts w:ascii="Times New Roman" w:hAnsi="Times New Roman" w:cs="Times New Roman"/>
          <w:sz w:val="28"/>
          <w:szCs w:val="28"/>
        </w:rPr>
        <w:t xml:space="preserve"> </w:t>
      </w:r>
      <w:r w:rsidR="00E16B38" w:rsidRPr="00025409">
        <w:rPr>
          <w:rFonts w:ascii="Times New Roman" w:hAnsi="Times New Roman" w:cs="Times New Roman"/>
          <w:sz w:val="28"/>
          <w:szCs w:val="28"/>
        </w:rPr>
        <w:t>Индекс добычи полезных ископаемых составил 105,4</w:t>
      </w:r>
      <w:r w:rsidR="00EB5E7A" w:rsidRPr="0002540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16B38" w:rsidRPr="00025409">
        <w:rPr>
          <w:rFonts w:ascii="Times New Roman" w:hAnsi="Times New Roman" w:cs="Times New Roman"/>
          <w:sz w:val="28"/>
          <w:szCs w:val="28"/>
        </w:rPr>
        <w:t xml:space="preserve">, </w:t>
      </w:r>
      <w:r w:rsidRPr="00025409">
        <w:rPr>
          <w:rFonts w:ascii="Times New Roman" w:hAnsi="Times New Roman" w:cs="Times New Roman"/>
          <w:sz w:val="28"/>
          <w:szCs w:val="28"/>
        </w:rPr>
        <w:t xml:space="preserve">добыча угля составила 658 тыс. тонн, с ростом к уровню 2020 года на 15 </w:t>
      </w:r>
      <w:r w:rsidR="00EB5E7A" w:rsidRPr="00025409">
        <w:rPr>
          <w:rFonts w:ascii="Times New Roman" w:hAnsi="Times New Roman" w:cs="Times New Roman"/>
          <w:sz w:val="28"/>
          <w:szCs w:val="28"/>
        </w:rPr>
        <w:t>процентов</w:t>
      </w:r>
      <w:r w:rsidRPr="00025409">
        <w:rPr>
          <w:rFonts w:ascii="Times New Roman" w:hAnsi="Times New Roman" w:cs="Times New Roman"/>
          <w:sz w:val="28"/>
          <w:szCs w:val="28"/>
        </w:rPr>
        <w:t xml:space="preserve"> (2020</w:t>
      </w:r>
      <w:r w:rsidR="00850F0D">
        <w:rPr>
          <w:rFonts w:ascii="Times New Roman" w:hAnsi="Times New Roman" w:cs="Times New Roman"/>
          <w:sz w:val="28"/>
          <w:szCs w:val="28"/>
        </w:rPr>
        <w:t xml:space="preserve"> </w:t>
      </w:r>
      <w:r w:rsidRPr="00025409">
        <w:rPr>
          <w:rFonts w:ascii="Times New Roman" w:hAnsi="Times New Roman" w:cs="Times New Roman"/>
          <w:sz w:val="28"/>
          <w:szCs w:val="28"/>
        </w:rPr>
        <w:t xml:space="preserve">г. – 572,6 тыс. тонн), полиметаллических руд </w:t>
      </w:r>
      <w:r w:rsidR="00025409">
        <w:rPr>
          <w:rFonts w:ascii="Times New Roman" w:hAnsi="Times New Roman" w:cs="Times New Roman"/>
          <w:sz w:val="28"/>
          <w:szCs w:val="28"/>
        </w:rPr>
        <w:t>–</w:t>
      </w:r>
      <w:r w:rsidRPr="00025409">
        <w:rPr>
          <w:rFonts w:ascii="Times New Roman" w:hAnsi="Times New Roman" w:cs="Times New Roman"/>
          <w:sz w:val="28"/>
          <w:szCs w:val="28"/>
        </w:rPr>
        <w:t xml:space="preserve"> 900,6 тыс. тонн </w:t>
      </w:r>
      <w:r w:rsidR="00565537" w:rsidRPr="00025409">
        <w:rPr>
          <w:rFonts w:ascii="Times New Roman" w:hAnsi="Times New Roman" w:cs="Times New Roman"/>
          <w:sz w:val="28"/>
          <w:szCs w:val="28"/>
        </w:rPr>
        <w:t>с ростом на 5,9</w:t>
      </w:r>
      <w:r w:rsidR="00EB5E7A" w:rsidRPr="0002540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E5082">
        <w:rPr>
          <w:rFonts w:ascii="Times New Roman" w:hAnsi="Times New Roman" w:cs="Times New Roman"/>
          <w:sz w:val="28"/>
          <w:szCs w:val="28"/>
        </w:rPr>
        <w:t>а</w:t>
      </w:r>
      <w:r w:rsidR="00565537" w:rsidRPr="00025409">
        <w:rPr>
          <w:rFonts w:ascii="Times New Roman" w:hAnsi="Times New Roman" w:cs="Times New Roman"/>
          <w:sz w:val="28"/>
          <w:szCs w:val="28"/>
        </w:rPr>
        <w:t xml:space="preserve"> </w:t>
      </w:r>
      <w:r w:rsidRPr="00025409">
        <w:rPr>
          <w:rFonts w:ascii="Times New Roman" w:hAnsi="Times New Roman" w:cs="Times New Roman"/>
          <w:sz w:val="28"/>
          <w:szCs w:val="28"/>
        </w:rPr>
        <w:t>(2020</w:t>
      </w:r>
      <w:r w:rsidR="00850F0D">
        <w:rPr>
          <w:rFonts w:ascii="Times New Roman" w:hAnsi="Times New Roman" w:cs="Times New Roman"/>
          <w:sz w:val="28"/>
          <w:szCs w:val="28"/>
        </w:rPr>
        <w:t xml:space="preserve"> </w:t>
      </w:r>
      <w:r w:rsidRPr="00025409">
        <w:rPr>
          <w:rFonts w:ascii="Times New Roman" w:hAnsi="Times New Roman" w:cs="Times New Roman"/>
          <w:sz w:val="28"/>
          <w:szCs w:val="28"/>
        </w:rPr>
        <w:t>г. – 849,7 тыс. тонн).</w:t>
      </w:r>
      <w:r w:rsidR="00565537" w:rsidRPr="00025409">
        <w:rPr>
          <w:rFonts w:ascii="Times New Roman" w:hAnsi="Times New Roman" w:cs="Times New Roman"/>
          <w:sz w:val="28"/>
          <w:szCs w:val="28"/>
        </w:rPr>
        <w:t xml:space="preserve"> </w:t>
      </w:r>
      <w:r w:rsidR="00125DF7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>За последние десять лет объем промы</w:t>
      </w:r>
      <w:r w:rsidR="00114177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шленного производства возрос в 3,6 раза </w:t>
      </w:r>
      <w:r w:rsidR="00125DF7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 сопоставимых ценах </w:t>
      </w:r>
      <w:r w:rsidR="00114177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>к уровню 2012 года.</w:t>
      </w:r>
      <w:r w:rsidR="00125DF7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</w:p>
    <w:p w:rsidR="00E00DD1" w:rsidRPr="00025409" w:rsidRDefault="00E00DD1" w:rsidP="00937238">
      <w:pPr>
        <w:tabs>
          <w:tab w:val="left" w:pos="0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025409">
        <w:rPr>
          <w:rFonts w:ascii="Times New Roman" w:hAnsi="Times New Roman" w:cs="Times New Roman"/>
          <w:color w:val="000000"/>
          <w:kern w:val="28"/>
          <w:sz w:val="28"/>
          <w:szCs w:val="28"/>
        </w:rPr>
        <w:t>По итогам 2021 года</w:t>
      </w:r>
      <w:r w:rsidRPr="00025409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Республика Тыва опережает среднероссийские и среднесибирские значения по показателю индекса промышленного производства (РТ – 106,3 процента, РФ – 105,3 процента, СФО – 102,9 процента). Это 3 место в Сибирском федеральном округе.</w:t>
      </w:r>
    </w:p>
    <w:p w:rsidR="00A350F6" w:rsidRPr="00025409" w:rsidRDefault="00A350F6" w:rsidP="0093723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409">
        <w:rPr>
          <w:rFonts w:ascii="Times New Roman" w:eastAsia="Calibri" w:hAnsi="Times New Roman" w:cs="Times New Roman"/>
          <w:sz w:val="28"/>
          <w:szCs w:val="28"/>
        </w:rPr>
        <w:t xml:space="preserve">В условиях пандемии пострадало малое и среднее предпринимательство, особенно сфера услуг. Однако федеральные и региональные меры поддержки бизнеса помогли в целом сохранить этот важнейший сегмент экономики, а главное, занятость в нем. </w:t>
      </w:r>
    </w:p>
    <w:p w:rsidR="00A350F6" w:rsidRPr="00025409" w:rsidRDefault="00A350F6" w:rsidP="0093723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409">
        <w:rPr>
          <w:rFonts w:ascii="Times New Roman" w:eastAsia="Calibri" w:hAnsi="Times New Roman" w:cs="Times New Roman"/>
          <w:sz w:val="28"/>
          <w:szCs w:val="28"/>
        </w:rPr>
        <w:t>Численность занятых в сфере МСП, включая индивидуальных предпринимателей</w:t>
      </w:r>
      <w:r w:rsidR="001E5082">
        <w:rPr>
          <w:rFonts w:ascii="Times New Roman" w:eastAsia="Calibri" w:hAnsi="Times New Roman" w:cs="Times New Roman"/>
          <w:sz w:val="28"/>
          <w:szCs w:val="28"/>
        </w:rPr>
        <w:t>,</w:t>
      </w:r>
      <w:r w:rsidRPr="00025409">
        <w:rPr>
          <w:rFonts w:ascii="Times New Roman" w:eastAsia="Calibri" w:hAnsi="Times New Roman" w:cs="Times New Roman"/>
          <w:sz w:val="28"/>
          <w:szCs w:val="28"/>
        </w:rPr>
        <w:t xml:space="preserve"> составила 20,13 тыс. человек, в том числе </w:t>
      </w:r>
      <w:proofErr w:type="spellStart"/>
      <w:r w:rsidRPr="00025409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025409">
        <w:rPr>
          <w:rFonts w:ascii="Times New Roman" w:eastAsia="Calibri" w:hAnsi="Times New Roman" w:cs="Times New Roman"/>
          <w:sz w:val="28"/>
          <w:szCs w:val="28"/>
        </w:rPr>
        <w:t xml:space="preserve"> граждан бол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>ее 4 тыс. человек, что на 27,2 процента</w:t>
      </w:r>
      <w:r w:rsidR="001E5082">
        <w:rPr>
          <w:rFonts w:ascii="Times New Roman" w:eastAsia="Calibri" w:hAnsi="Times New Roman" w:cs="Times New Roman"/>
          <w:sz w:val="28"/>
          <w:szCs w:val="28"/>
        </w:rPr>
        <w:t xml:space="preserve"> больше чем в 2020 году.</w:t>
      </w:r>
    </w:p>
    <w:p w:rsidR="00E16B38" w:rsidRPr="00025409" w:rsidRDefault="00A37DF0" w:rsidP="00937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eastAsia="Calibri" w:hAnsi="Times New Roman" w:cs="Times New Roman"/>
          <w:sz w:val="28"/>
          <w:szCs w:val="28"/>
        </w:rPr>
        <w:t>Соответственно, по значениям розничной торговли и платных услуг населению отмечается положительная динамика. По итогам 2021 года индекс розничного това</w:t>
      </w:r>
      <w:r w:rsidRPr="00025409">
        <w:rPr>
          <w:rFonts w:ascii="Times New Roman" w:eastAsia="Calibri" w:hAnsi="Times New Roman" w:cs="Times New Roman"/>
          <w:sz w:val="28"/>
          <w:szCs w:val="28"/>
        </w:rPr>
        <w:lastRenderedPageBreak/>
        <w:t>рооборота составил 10</w:t>
      </w:r>
      <w:r w:rsidR="00F0659F" w:rsidRPr="00025409">
        <w:rPr>
          <w:rFonts w:ascii="Times New Roman" w:eastAsia="Calibri" w:hAnsi="Times New Roman" w:cs="Times New Roman"/>
          <w:sz w:val="28"/>
          <w:szCs w:val="28"/>
        </w:rPr>
        <w:t>9,</w:t>
      </w:r>
      <w:r w:rsidR="00FB019A" w:rsidRPr="00025409">
        <w:rPr>
          <w:rFonts w:ascii="Times New Roman" w:eastAsia="Calibri" w:hAnsi="Times New Roman" w:cs="Times New Roman"/>
          <w:sz w:val="28"/>
          <w:szCs w:val="28"/>
        </w:rPr>
        <w:t>7</w:t>
      </w:r>
      <w:r w:rsidRPr="00025409">
        <w:rPr>
          <w:rFonts w:ascii="Times New Roman" w:eastAsia="Calibri" w:hAnsi="Times New Roman" w:cs="Times New Roman"/>
          <w:sz w:val="28"/>
          <w:szCs w:val="28"/>
        </w:rPr>
        <w:t xml:space="preserve"> процента (5 место в СФО), индекс платных услуг населению – 1</w:t>
      </w:r>
      <w:r w:rsidR="00F0659F" w:rsidRPr="00025409">
        <w:rPr>
          <w:rFonts w:ascii="Times New Roman" w:eastAsia="Calibri" w:hAnsi="Times New Roman" w:cs="Times New Roman"/>
          <w:sz w:val="28"/>
          <w:szCs w:val="28"/>
        </w:rPr>
        <w:t>17,8</w:t>
      </w:r>
      <w:r w:rsidRPr="00025409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F0659F" w:rsidRPr="00025409">
        <w:rPr>
          <w:rFonts w:ascii="Times New Roman" w:eastAsia="Calibri" w:hAnsi="Times New Roman" w:cs="Times New Roman"/>
          <w:sz w:val="28"/>
          <w:szCs w:val="28"/>
        </w:rPr>
        <w:t>(3</w:t>
      </w:r>
      <w:r w:rsidRPr="00025409">
        <w:rPr>
          <w:rFonts w:ascii="Times New Roman" w:eastAsia="Calibri" w:hAnsi="Times New Roman" w:cs="Times New Roman"/>
          <w:sz w:val="28"/>
          <w:szCs w:val="28"/>
        </w:rPr>
        <w:t xml:space="preserve"> место в СФО).</w:t>
      </w:r>
      <w:r w:rsidR="00E16B38" w:rsidRPr="00025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B38" w:rsidRPr="00025409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E16B38" w:rsidRPr="00025409">
        <w:rPr>
          <w:rFonts w:ascii="Times New Roman" w:eastAsiaTheme="minorEastAsia" w:hAnsi="Times New Roman" w:cs="Times New Roman"/>
          <w:sz w:val="28"/>
          <w:szCs w:val="28"/>
        </w:rPr>
        <w:t>десять</w:t>
      </w:r>
      <w:r w:rsidR="00E16B38" w:rsidRPr="00025409">
        <w:rPr>
          <w:rFonts w:ascii="Times New Roman" w:hAnsi="Times New Roman" w:cs="Times New Roman"/>
          <w:sz w:val="28"/>
          <w:szCs w:val="28"/>
        </w:rPr>
        <w:t xml:space="preserve"> лет оборот розничной торговли увеличился в 1,8 раза в сопоставимых ценах к уровню 2012 года. </w:t>
      </w:r>
    </w:p>
    <w:p w:rsidR="007D5687" w:rsidRPr="00025409" w:rsidRDefault="007D5687" w:rsidP="00937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 xml:space="preserve">Рост потребительских цен с начала года (декабрь 2021 года к декабрю               2020 года) составил 107,8 процента. При этом рост цен на продовольственные товары составил 10,7 процента, непродовольственные – 106,4 процента, платные услуги населению – 105,1 процента. </w:t>
      </w:r>
    </w:p>
    <w:p w:rsidR="009637CD" w:rsidRPr="00025409" w:rsidRDefault="00624D44" w:rsidP="00937238">
      <w:pPr>
        <w:pStyle w:val="text"/>
        <w:spacing w:line="240" w:lineRule="auto"/>
        <w:ind w:left="0" w:right="0" w:firstLine="709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2021 год был успешным для сельского хозяйства, о</w:t>
      </w:r>
      <w:r w:rsidR="00A350F6" w:rsidRPr="00025409">
        <w:rPr>
          <w:rFonts w:ascii="Times New Roman" w:hAnsi="Times New Roman" w:cs="Times New Roman"/>
          <w:sz w:val="28"/>
          <w:szCs w:val="28"/>
        </w:rPr>
        <w:t xml:space="preserve">бъем валовой продукции сельского хозяйства составил 8,428 млрд. руб. с ростом на 2,1 </w:t>
      </w:r>
      <w:r w:rsidR="002829CC" w:rsidRPr="00025409">
        <w:rPr>
          <w:rFonts w:ascii="Times New Roman" w:hAnsi="Times New Roman" w:cs="Times New Roman"/>
          <w:sz w:val="28"/>
          <w:szCs w:val="28"/>
        </w:rPr>
        <w:t>процента</w:t>
      </w:r>
      <w:r w:rsidR="00A350F6" w:rsidRPr="00025409">
        <w:rPr>
          <w:rFonts w:ascii="Times New Roman" w:hAnsi="Times New Roman" w:cs="Times New Roman"/>
          <w:sz w:val="28"/>
          <w:szCs w:val="28"/>
        </w:rPr>
        <w:t xml:space="preserve"> к уровню прошлого года (2020</w:t>
      </w:r>
      <w:r w:rsidR="001E5082">
        <w:rPr>
          <w:rFonts w:ascii="Times New Roman" w:hAnsi="Times New Roman" w:cs="Times New Roman"/>
          <w:sz w:val="28"/>
          <w:szCs w:val="28"/>
        </w:rPr>
        <w:t xml:space="preserve"> </w:t>
      </w:r>
      <w:r w:rsidR="00A350F6" w:rsidRPr="00025409">
        <w:rPr>
          <w:rFonts w:ascii="Times New Roman" w:hAnsi="Times New Roman" w:cs="Times New Roman"/>
          <w:sz w:val="28"/>
          <w:szCs w:val="28"/>
        </w:rPr>
        <w:t xml:space="preserve">г. </w:t>
      </w:r>
      <w:r w:rsidR="00025409">
        <w:rPr>
          <w:rFonts w:ascii="Times New Roman" w:hAnsi="Times New Roman" w:cs="Times New Roman"/>
          <w:sz w:val="28"/>
          <w:szCs w:val="28"/>
        </w:rPr>
        <w:t>–</w:t>
      </w:r>
      <w:r w:rsidR="001E222C" w:rsidRPr="00025409">
        <w:rPr>
          <w:rFonts w:ascii="Times New Roman" w:hAnsi="Times New Roman" w:cs="Times New Roman"/>
          <w:sz w:val="28"/>
          <w:szCs w:val="28"/>
        </w:rPr>
        <w:t xml:space="preserve"> </w:t>
      </w:r>
      <w:r w:rsidR="00A350F6" w:rsidRPr="00025409">
        <w:rPr>
          <w:rFonts w:ascii="Times New Roman" w:hAnsi="Times New Roman" w:cs="Times New Roman"/>
          <w:sz w:val="28"/>
          <w:szCs w:val="28"/>
        </w:rPr>
        <w:t>8071 млрд. руб.)</w:t>
      </w:r>
      <w:r w:rsidR="00571B4D" w:rsidRPr="00025409">
        <w:rPr>
          <w:rFonts w:ascii="Times New Roman" w:hAnsi="Times New Roman" w:cs="Times New Roman"/>
          <w:sz w:val="28"/>
          <w:szCs w:val="28"/>
        </w:rPr>
        <w:t>.</w:t>
      </w:r>
      <w:r w:rsidR="00571B4D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9637CD" w:rsidRPr="00025409">
        <w:rPr>
          <w:rFonts w:ascii="Times New Roman" w:hAnsi="Times New Roman" w:cs="Times New Roman"/>
          <w:sz w:val="28"/>
          <w:szCs w:val="28"/>
        </w:rPr>
        <w:t xml:space="preserve">По индексу производства продукции сельского хозяйства Республика Тыва заняла 5 место </w:t>
      </w:r>
      <w:r w:rsidR="009637CD" w:rsidRPr="00025409">
        <w:rPr>
          <w:rFonts w:ascii="Times New Roman" w:eastAsia="SimSun" w:hAnsi="Times New Roman" w:cs="Times New Roman"/>
          <w:bCs/>
          <w:kern w:val="3"/>
          <w:sz w:val="28"/>
          <w:szCs w:val="28"/>
        </w:rPr>
        <w:t>в Сибирском федеральном округе</w:t>
      </w:r>
      <w:r w:rsidR="009637CD" w:rsidRPr="00025409">
        <w:rPr>
          <w:rFonts w:ascii="Times New Roman" w:hAnsi="Times New Roman" w:cs="Times New Roman"/>
          <w:sz w:val="28"/>
          <w:szCs w:val="28"/>
        </w:rPr>
        <w:t xml:space="preserve"> (РТ – 102,1 процента</w:t>
      </w:r>
      <w:r w:rsidR="001E5082">
        <w:rPr>
          <w:rFonts w:ascii="Times New Roman" w:hAnsi="Times New Roman" w:cs="Times New Roman"/>
          <w:sz w:val="28"/>
          <w:szCs w:val="28"/>
        </w:rPr>
        <w:t>,</w:t>
      </w:r>
      <w:r w:rsidR="009637CD" w:rsidRPr="00025409">
        <w:rPr>
          <w:rFonts w:ascii="Times New Roman" w:hAnsi="Times New Roman" w:cs="Times New Roman"/>
          <w:sz w:val="28"/>
          <w:szCs w:val="28"/>
        </w:rPr>
        <w:t xml:space="preserve"> РФ – 99,1 процента, СФО – 107,7 процента</w:t>
      </w:r>
      <w:r w:rsidR="009637CD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>).</w:t>
      </w:r>
    </w:p>
    <w:p w:rsidR="009637CD" w:rsidRPr="00025409" w:rsidRDefault="009637CD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г. объем продукции растениеводства составил 1463,7 млн. рублей, в том числе крестьянскими (фермерскими) хозяйствами выращено </w:t>
      </w:r>
      <w:proofErr w:type="spellStart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сельхозкультур</w:t>
      </w:r>
      <w:proofErr w:type="spellEnd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EB5E7A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сумму 608,4 млн. рублей или 41 процент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валовой продукции растениеводства (201</w:t>
      </w:r>
      <w:r w:rsidR="00EB5E7A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г. – 67,8 млн. рублей или 8,4 процента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9637CD" w:rsidRPr="00025409" w:rsidRDefault="009637CD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Постепенно увеличиваются посевные площади сельскохозяйственных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 за счет содействия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обновлению парка техники, за последние 10 лет 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посевные площади возросли на 45 процентов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Наибольший рост наблюдается по посевным площадям под кормовые культуры – рост в 4 раза к уровню 2012 г. Соответственно валовый сбор однолетних трав на сено в 2021 г. составил 30,2 тыс. тонн или рост к уровню 2012 г. в 11 раз, многолетних трав на сено – 13,7 тыс. тонн, рост в 6,5 раза.</w:t>
      </w:r>
    </w:p>
    <w:p w:rsidR="009637CD" w:rsidRPr="00025409" w:rsidRDefault="009637CD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производства овощей возросли на 34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в 2021 г. 4,463 тыс. тонн за счет создания специализированных овощеводческих хозяйств на территории республики.</w:t>
      </w:r>
    </w:p>
    <w:p w:rsidR="009637CD" w:rsidRPr="00025409" w:rsidRDefault="009637CD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объемов валовой продукции сельского хозяйства обеспечен в основном за счет продукции животноводства, динамика развития которого остается стабильным на протяжении последнего десятилетия. Объем продукции животноводства за 2021 г. по предварительным данным составляет 6964,8 млн. рублей с индексом физического объема 101,8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1E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2020 году.</w:t>
      </w:r>
    </w:p>
    <w:p w:rsidR="009637CD" w:rsidRPr="00025409" w:rsidRDefault="009637CD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всех видов скота в хозяйствах всех категорий увеличивается ежегодно, но в ряде районов</w:t>
      </w:r>
      <w:r w:rsidR="001E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Пий-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1E50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сокращается поголовье мелкого рогатого скота в пользу увеличения численности крупного рогатого скота. </w:t>
      </w:r>
    </w:p>
    <w:p w:rsidR="009637CD" w:rsidRPr="00025409" w:rsidRDefault="009637CD" w:rsidP="00937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2021 г. в хозяйствах всех категорий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</w:t>
      </w:r>
      <w:r w:rsidRPr="000254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скота и птицы на убой (в живом весе) 22,2 тыс. тонн (рост на 4,7</w:t>
      </w:r>
      <w:r w:rsidR="001E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молока – 67,7 тыс. тонн (рост на 3,3</w:t>
      </w:r>
      <w:r w:rsidR="001E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5DF7" w:rsidRPr="00025409" w:rsidRDefault="00571B4D" w:rsidP="00937238">
      <w:pPr>
        <w:pStyle w:val="text"/>
        <w:spacing w:line="240" w:lineRule="auto"/>
        <w:ind w:left="0" w:right="0" w:firstLine="709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>За период с 201</w:t>
      </w:r>
      <w:r w:rsidR="002829CC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по 2021 гг. объем производства сельского хозяйства возрос в</w:t>
      </w:r>
      <w:r w:rsidR="002829CC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1,7</w:t>
      </w:r>
      <w:r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раза</w:t>
      </w:r>
      <w:r w:rsidR="002829CC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 </w:t>
      </w:r>
      <w:r w:rsidR="002829CC"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сопоставимых </w:t>
      </w:r>
      <w:r w:rsidRPr="0002540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ценах. </w:t>
      </w:r>
    </w:p>
    <w:p w:rsidR="005B152F" w:rsidRPr="00025409" w:rsidRDefault="002E3579" w:rsidP="009372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предварительным данным объем инвестиций в основной капитал за 2021 год составил 14 751 млн. рублей или 68,2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предыдущего года.</w:t>
      </w:r>
      <w:r w:rsidRPr="00025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5B152F" w:rsidRPr="00025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 последние десять лет объем инвестиций в основной капитал возрос в 1,</w:t>
      </w:r>
      <w:r w:rsidR="00EB7F1C" w:rsidRPr="00025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2</w:t>
      </w:r>
      <w:r w:rsidR="005B152F" w:rsidRPr="00025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раза </w:t>
      </w:r>
      <w:r w:rsidR="00EB7F1C" w:rsidRPr="00025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сопоставимых ценах </w:t>
      </w:r>
      <w:r w:rsidR="005B152F" w:rsidRPr="00025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или на </w:t>
      </w:r>
      <w:r w:rsidR="00EB7F1C" w:rsidRPr="00025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3</w:t>
      </w:r>
      <w:r w:rsidR="005B152F" w:rsidRPr="00025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млрд. руб.</w:t>
      </w:r>
    </w:p>
    <w:p w:rsidR="00AE2417" w:rsidRPr="00025409" w:rsidRDefault="002E3579" w:rsidP="009372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Крупными компаниями Республики Тыва за 2021 г. инвестировано 3041,2 млн. рублей. (в 2020 г. </w:t>
      </w:r>
      <w:r w:rsidR="001E50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12056,0 млн. рублей), что меньше на 74,7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 годом. </w:t>
      </w:r>
      <w:r w:rsidR="00AE241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связано с корректировкой генеральных планов субъектов инвестиционной деятельности, в частности</w:t>
      </w:r>
      <w:r w:rsidR="001E50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241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г. был изменен график капитальных вложений по крупнейшему проекту «Создание компании – производителя батарейных металлов. Строительство горно-обогатительного комбината на базе медно-порфирового месторождения Ак-</w:t>
      </w:r>
      <w:proofErr w:type="spellStart"/>
      <w:r w:rsidR="00AE241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</w:t>
      </w:r>
      <w:proofErr w:type="spellEnd"/>
      <w:r w:rsidR="00AE241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инвестором ООО «</w:t>
      </w:r>
      <w:proofErr w:type="spellStart"/>
      <w:r w:rsidR="00AE241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Голевская</w:t>
      </w:r>
      <w:proofErr w:type="spellEnd"/>
      <w:r w:rsidR="00AE241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горнорудная компания» и ПАО «ФСК ЕЭС».</w:t>
      </w:r>
    </w:p>
    <w:p w:rsidR="00765F86" w:rsidRPr="00025409" w:rsidRDefault="002E3579" w:rsidP="00937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строительных работ в 2021 году составил 8976,6 млн. рублей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25409">
        <w:rPr>
          <w:rFonts w:ascii="Times New Roman" w:eastAsia="Calibri" w:hAnsi="Times New Roman" w:cs="Times New Roman"/>
          <w:sz w:val="28"/>
          <w:szCs w:val="28"/>
        </w:rPr>
        <w:t>ведено 108,5 тыс. кв. м жилья, плановое значение перевыполнено на 1,4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025409">
        <w:rPr>
          <w:rFonts w:ascii="Times New Roman" w:eastAsia="Calibri" w:hAnsi="Times New Roman" w:cs="Times New Roman"/>
          <w:sz w:val="28"/>
          <w:szCs w:val="28"/>
        </w:rPr>
        <w:t xml:space="preserve">, однако к уровню 2020 г. </w:t>
      </w:r>
      <w:r w:rsidR="00386FFB">
        <w:rPr>
          <w:rFonts w:ascii="Times New Roman" w:eastAsia="Calibri" w:hAnsi="Times New Roman" w:cs="Times New Roman"/>
          <w:sz w:val="28"/>
          <w:szCs w:val="28"/>
        </w:rPr>
        <w:t xml:space="preserve">зафиксировано </w:t>
      </w:r>
      <w:r w:rsidRPr="00025409">
        <w:rPr>
          <w:rFonts w:ascii="Times New Roman" w:eastAsia="Calibri" w:hAnsi="Times New Roman" w:cs="Times New Roman"/>
          <w:sz w:val="28"/>
          <w:szCs w:val="28"/>
        </w:rPr>
        <w:t>снижение на 2,2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025409">
        <w:rPr>
          <w:rFonts w:ascii="Times New Roman" w:eastAsia="Calibri" w:hAnsi="Times New Roman" w:cs="Times New Roman"/>
          <w:sz w:val="28"/>
          <w:szCs w:val="28"/>
        </w:rPr>
        <w:t>. В том числе более 9 тыс. кв.м жилья построено в рамках проекта «Обеспечение устойчивого сокращения непригодного для проживания жилищного фонда» и по программе переселения граждан из аварийного жилищного фонда (введены 6 МКД).</w:t>
      </w:r>
      <w:r w:rsidR="00765F86" w:rsidRPr="00025409">
        <w:rPr>
          <w:rFonts w:ascii="Times New Roman" w:eastAsia="Calibri" w:hAnsi="Times New Roman" w:cs="Times New Roman"/>
          <w:sz w:val="28"/>
          <w:szCs w:val="28"/>
        </w:rPr>
        <w:t xml:space="preserve"> К уровню 201</w:t>
      </w:r>
      <w:r w:rsidR="00C50F44" w:rsidRPr="00025409">
        <w:rPr>
          <w:rFonts w:ascii="Times New Roman" w:eastAsia="Calibri" w:hAnsi="Times New Roman" w:cs="Times New Roman"/>
          <w:sz w:val="28"/>
          <w:szCs w:val="28"/>
        </w:rPr>
        <w:t>2</w:t>
      </w:r>
      <w:r w:rsidR="00765F86" w:rsidRPr="00025409">
        <w:rPr>
          <w:rFonts w:ascii="Times New Roman" w:eastAsia="Calibri" w:hAnsi="Times New Roman" w:cs="Times New Roman"/>
          <w:sz w:val="28"/>
          <w:szCs w:val="28"/>
        </w:rPr>
        <w:t xml:space="preserve"> года объем строительных работ в</w:t>
      </w:r>
      <w:r w:rsidR="00BF4D34" w:rsidRPr="00025409">
        <w:rPr>
          <w:rFonts w:ascii="Times New Roman" w:eastAsia="Calibri" w:hAnsi="Times New Roman" w:cs="Times New Roman"/>
          <w:sz w:val="28"/>
          <w:szCs w:val="28"/>
        </w:rPr>
        <w:t>озро</w:t>
      </w:r>
      <w:r w:rsidR="00765F86" w:rsidRPr="00025409">
        <w:rPr>
          <w:rFonts w:ascii="Times New Roman" w:eastAsia="Calibri" w:hAnsi="Times New Roman" w:cs="Times New Roman"/>
          <w:sz w:val="28"/>
          <w:szCs w:val="28"/>
        </w:rPr>
        <w:t>с в 3,</w:t>
      </w:r>
      <w:r w:rsidR="00C50F44" w:rsidRPr="00025409">
        <w:rPr>
          <w:rFonts w:ascii="Times New Roman" w:eastAsia="Calibri" w:hAnsi="Times New Roman" w:cs="Times New Roman"/>
          <w:sz w:val="28"/>
          <w:szCs w:val="28"/>
        </w:rPr>
        <w:t>4</w:t>
      </w:r>
      <w:r w:rsidR="00846C42" w:rsidRPr="00025409">
        <w:rPr>
          <w:rFonts w:ascii="Times New Roman" w:eastAsia="Calibri" w:hAnsi="Times New Roman" w:cs="Times New Roman"/>
          <w:sz w:val="28"/>
          <w:szCs w:val="28"/>
        </w:rPr>
        <w:t xml:space="preserve"> раза в сопоставимых ценах</w:t>
      </w:r>
      <w:r w:rsidR="00765F86" w:rsidRPr="000254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6C42" w:rsidRPr="00025409">
        <w:rPr>
          <w:rFonts w:ascii="Times New Roman" w:eastAsia="Calibri" w:hAnsi="Times New Roman" w:cs="Times New Roman"/>
          <w:sz w:val="28"/>
          <w:szCs w:val="28"/>
        </w:rPr>
        <w:t>введено жилья в 2 раза больше. За десять лет площадь введенных в действие жилых домов на территории республики составила 969,1 тыс. кв. м.</w:t>
      </w:r>
      <w:r w:rsidR="00765F86" w:rsidRPr="000254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579" w:rsidRPr="00025409" w:rsidRDefault="00FB37F2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2E3579" w:rsidRPr="00025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оказатели автомобильных </w:t>
      </w:r>
      <w:r w:rsidR="002E3579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перевозок </w:t>
      </w:r>
      <w:r w:rsidRPr="00025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2021 год </w:t>
      </w:r>
      <w:r w:rsidR="002E3579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отмечаются со снижением </w:t>
      </w:r>
      <w:r w:rsidR="002E3579" w:rsidRPr="000254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на 8,5 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="002E3579" w:rsidRPr="000254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(пассажироперевозки) и на 7,1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2E3579" w:rsidRPr="000254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(пассажирооборот)</w:t>
      </w:r>
      <w:r w:rsidR="002E3579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 по авиамаршрутам наблюдается значительный рост (на 34,7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2E3579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межрегиональных авиамаршрутах, на 40,3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="002E3579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местных авиалиниях).</w:t>
      </w:r>
    </w:p>
    <w:p w:rsidR="00046EAE" w:rsidRPr="00025409" w:rsidRDefault="00A350F6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развитие. </w:t>
      </w:r>
    </w:p>
    <w:p w:rsidR="00046EAE" w:rsidRPr="00025409" w:rsidRDefault="00046EAE" w:rsidP="0093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 xml:space="preserve">На начало 2021 года численность населения составила 332,6 тыс. чел., с ростом к уровню </w:t>
      </w:r>
      <w:r w:rsidR="00BF4D34" w:rsidRPr="00025409">
        <w:rPr>
          <w:rFonts w:ascii="Times New Roman" w:hAnsi="Times New Roman" w:cs="Times New Roman"/>
          <w:sz w:val="28"/>
          <w:szCs w:val="28"/>
        </w:rPr>
        <w:t>прошлого</w:t>
      </w:r>
      <w:r w:rsidRPr="00025409">
        <w:rPr>
          <w:rFonts w:ascii="Times New Roman" w:hAnsi="Times New Roman" w:cs="Times New Roman"/>
          <w:sz w:val="28"/>
          <w:szCs w:val="28"/>
        </w:rPr>
        <w:t xml:space="preserve"> года на 0,7 процента или на 2,2 тыс. человек. Стабильный рост численности населения обеспечивается за счет высоких показателей рождаемости: за 2021 год коэффициент рождаемости составил 20 на 1000 населения (по России – 9</w:t>
      </w:r>
      <w:r w:rsidR="00E22F34" w:rsidRPr="00025409">
        <w:rPr>
          <w:rFonts w:ascii="Times New Roman" w:hAnsi="Times New Roman" w:cs="Times New Roman"/>
          <w:sz w:val="28"/>
          <w:szCs w:val="28"/>
        </w:rPr>
        <w:t>,6</w:t>
      </w:r>
      <w:r w:rsidR="006E664D" w:rsidRPr="00025409">
        <w:rPr>
          <w:rFonts w:ascii="Times New Roman" w:hAnsi="Times New Roman" w:cs="Times New Roman"/>
          <w:sz w:val="28"/>
          <w:szCs w:val="28"/>
        </w:rPr>
        <w:t>)</w:t>
      </w:r>
      <w:r w:rsidRPr="00025409">
        <w:rPr>
          <w:rFonts w:ascii="Times New Roman" w:hAnsi="Times New Roman" w:cs="Times New Roman"/>
          <w:sz w:val="28"/>
          <w:szCs w:val="28"/>
        </w:rPr>
        <w:t xml:space="preserve"> и республика занимает лидирующую позицию среди регионов Российской Федерации. </w:t>
      </w:r>
      <w:r w:rsidR="00AD5413" w:rsidRPr="00025409">
        <w:rPr>
          <w:rFonts w:ascii="Times New Roman" w:hAnsi="Times New Roman" w:cs="Times New Roman"/>
          <w:sz w:val="28"/>
          <w:szCs w:val="28"/>
        </w:rPr>
        <w:t>В</w:t>
      </w:r>
      <w:r w:rsidRPr="00025409">
        <w:rPr>
          <w:rFonts w:ascii="Times New Roman" w:hAnsi="Times New Roman" w:cs="Times New Roman"/>
          <w:sz w:val="28"/>
          <w:szCs w:val="28"/>
        </w:rPr>
        <w:t xml:space="preserve"> республике наблюдается снижение рождаемости, обусловленное сокращением числа женщин репродуктивного возраста. Тем не менее, показатель рождаемости остается высоким за счет принимаемых мер по снижению смертности населения, модернизации здравоохранения.</w:t>
      </w:r>
    </w:p>
    <w:p w:rsidR="00046EAE" w:rsidRPr="00025409" w:rsidRDefault="00AD5413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hAnsi="Times New Roman" w:cs="Times New Roman"/>
          <w:sz w:val="28"/>
          <w:szCs w:val="28"/>
        </w:rPr>
        <w:t>О</w:t>
      </w:r>
      <w:r w:rsidR="00046EAE" w:rsidRPr="00025409">
        <w:rPr>
          <w:rFonts w:ascii="Times New Roman" w:hAnsi="Times New Roman" w:cs="Times New Roman"/>
          <w:sz w:val="28"/>
          <w:szCs w:val="28"/>
        </w:rPr>
        <w:t>жидаемая продол</w:t>
      </w:r>
      <w:r w:rsidRPr="00025409">
        <w:rPr>
          <w:rFonts w:ascii="Times New Roman" w:hAnsi="Times New Roman" w:cs="Times New Roman"/>
          <w:sz w:val="28"/>
          <w:szCs w:val="28"/>
        </w:rPr>
        <w:t>жительность жизни з</w:t>
      </w:r>
      <w:r w:rsidR="00046EAE" w:rsidRPr="00025409">
        <w:rPr>
          <w:rFonts w:ascii="Times New Roman" w:hAnsi="Times New Roman" w:cs="Times New Roman"/>
          <w:sz w:val="28"/>
          <w:szCs w:val="28"/>
        </w:rPr>
        <w:t xml:space="preserve">а </w:t>
      </w:r>
      <w:r w:rsidRPr="00025409">
        <w:rPr>
          <w:rFonts w:ascii="Times New Roman" w:hAnsi="Times New Roman" w:cs="Times New Roman"/>
          <w:sz w:val="28"/>
          <w:szCs w:val="28"/>
        </w:rPr>
        <w:t xml:space="preserve">2021 год составила </w:t>
      </w:r>
      <w:r w:rsidR="00046EAE" w:rsidRPr="00025409">
        <w:rPr>
          <w:rFonts w:ascii="Times New Roman" w:hAnsi="Times New Roman" w:cs="Times New Roman"/>
          <w:sz w:val="28"/>
          <w:szCs w:val="28"/>
        </w:rPr>
        <w:t>6</w:t>
      </w:r>
      <w:r w:rsidRPr="00025409">
        <w:rPr>
          <w:rFonts w:ascii="Times New Roman" w:hAnsi="Times New Roman" w:cs="Times New Roman"/>
          <w:sz w:val="28"/>
          <w:szCs w:val="28"/>
        </w:rPr>
        <w:t>6,88</w:t>
      </w:r>
      <w:r w:rsidR="00046EAE" w:rsidRPr="00025409">
        <w:rPr>
          <w:rFonts w:ascii="Times New Roman" w:hAnsi="Times New Roman" w:cs="Times New Roman"/>
          <w:sz w:val="28"/>
          <w:szCs w:val="28"/>
        </w:rPr>
        <w:t xml:space="preserve"> лет, против 6</w:t>
      </w:r>
      <w:r w:rsidRPr="00025409">
        <w:rPr>
          <w:rFonts w:ascii="Times New Roman" w:hAnsi="Times New Roman" w:cs="Times New Roman"/>
          <w:sz w:val="28"/>
          <w:szCs w:val="28"/>
        </w:rPr>
        <w:t xml:space="preserve">6,3 лет в </w:t>
      </w:r>
      <w:r w:rsidR="00046EAE" w:rsidRPr="00025409">
        <w:rPr>
          <w:rFonts w:ascii="Times New Roman" w:hAnsi="Times New Roman" w:cs="Times New Roman"/>
          <w:sz w:val="28"/>
          <w:szCs w:val="28"/>
        </w:rPr>
        <w:t>20</w:t>
      </w:r>
      <w:r w:rsidRPr="00025409">
        <w:rPr>
          <w:rFonts w:ascii="Times New Roman" w:hAnsi="Times New Roman" w:cs="Times New Roman"/>
          <w:sz w:val="28"/>
          <w:szCs w:val="28"/>
        </w:rPr>
        <w:t>20</w:t>
      </w:r>
      <w:r w:rsidR="00046EAE" w:rsidRPr="00025409">
        <w:rPr>
          <w:rFonts w:ascii="Times New Roman" w:hAnsi="Times New Roman" w:cs="Times New Roman"/>
          <w:sz w:val="28"/>
          <w:szCs w:val="28"/>
        </w:rPr>
        <w:t xml:space="preserve"> год</w:t>
      </w:r>
      <w:r w:rsidRPr="00025409">
        <w:rPr>
          <w:rFonts w:ascii="Times New Roman" w:hAnsi="Times New Roman" w:cs="Times New Roman"/>
          <w:sz w:val="28"/>
          <w:szCs w:val="28"/>
        </w:rPr>
        <w:t>у</w:t>
      </w:r>
      <w:r w:rsidR="00046EAE" w:rsidRPr="00025409">
        <w:rPr>
          <w:rFonts w:ascii="Times New Roman" w:hAnsi="Times New Roman" w:cs="Times New Roman"/>
          <w:sz w:val="28"/>
          <w:szCs w:val="28"/>
        </w:rPr>
        <w:t>.</w:t>
      </w:r>
    </w:p>
    <w:p w:rsidR="00A350F6" w:rsidRPr="00025409" w:rsidRDefault="00A350F6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работников за 2021 год составила 46084,3 руб., с ростом к уровню предыдущего года на 4,5 процента, при этом реальная заработная плата снизилась на 1,9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темпов роста </w:t>
      </w:r>
      <w:r w:rsidRPr="0002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потребительских цен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0F6" w:rsidRPr="00025409" w:rsidRDefault="00A350F6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Среднедушевые денежные доходы составили </w:t>
      </w:r>
      <w:r w:rsidR="00974962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21651,8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974962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974962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уровня 2020 года (18975 руб.). Реальные располагаемые денежные доходы составили </w:t>
      </w:r>
      <w:r w:rsidR="00974962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102,2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F86" w:rsidRPr="00025409" w:rsidRDefault="00765F86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201</w:t>
      </w:r>
      <w:r w:rsidR="007D568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среднемесячная заработная плата и среднедушевые денежные доходы населения возросли </w:t>
      </w:r>
      <w:r w:rsidR="000058A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2,</w:t>
      </w:r>
      <w:r w:rsidR="007D568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58A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7AE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D568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7AE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</w:t>
      </w:r>
      <w:r w:rsidR="00C3030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или на </w:t>
      </w:r>
      <w:r w:rsidR="008C3A0F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68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3,8 </w:t>
      </w:r>
      <w:r w:rsidR="008C3A0F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D568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030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 больше</w:t>
      </w:r>
      <w:r w:rsidR="008D747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7D568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747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C3030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0F6" w:rsidRPr="00025409" w:rsidRDefault="00A350F6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общая численность безработных снизилась к уровню предыдущего года на 18,7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19,1 тыс. человек (2020 г. – 23,5 тыс. чел.), уровень </w:t>
      </w:r>
      <w:r w:rsid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18 в 2020 году.</w:t>
      </w:r>
      <w:r w:rsidR="00C7162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десять лет уровень общей безработицы снизился на </w:t>
      </w:r>
      <w:r w:rsidR="003B7F2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C7162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пункта, численность безработных на </w:t>
      </w:r>
      <w:r w:rsidR="003B7F2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C7162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A350F6" w:rsidRPr="00025409" w:rsidRDefault="00A350F6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зарегистрированных безработных на конец декабря 2021 г. составила 13,4 тыс. чел., снижение к уровню 2020 года на 24,5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(2020г. – 17,7 тыс. чел.). Уровень снизился на 5,1 процентных пункта к предыдущему году и составил 8,4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</w:t>
      </w:r>
      <w:r w:rsidR="003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13,5</w:t>
      </w:r>
      <w:r w:rsidR="003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50F6" w:rsidRPr="00025409" w:rsidRDefault="00A350F6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2022 года в российской экономике сохранялись положительные тенденции, но с конца февраля 2022 г. внешние условия функционирования экономики кардинально изменились. Введенные иностранными государствами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санкционные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привели к усилению волатильности валютного курса, снижению цен на финансовые активы.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 (до 17,8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50F6" w:rsidRPr="00025409" w:rsidRDefault="00A350F6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уровне введенные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санкционные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также оказали негативное влияние на рост цен, снижение товарооборота, замедление темпов строительной отрасли, поставки импортного оборудования. В целях обеспечения устойчивого социально-экономического развития в Республике Тыва создана антикризисная комиссия по повышению устойчивости экономики Республики Тыва в условиях санкций (распоряжение Пр</w:t>
      </w:r>
      <w:r w:rsid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Республики Тыва от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105-р).</w:t>
      </w:r>
    </w:p>
    <w:p w:rsidR="00A350F6" w:rsidRPr="00025409" w:rsidRDefault="00A350F6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федерального плана, разработан региональный план первоочередных мер по обеспечению развития экономики Республики Тыва в условиях внешнего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санкционного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 в 2022 году. План включает организационные меры, предусматривающие нормативно-правовое регулирование, институциональные меры, предполагающие создание благоприятного делового климата, меры, направленные на оптимизацию налоговой нагрузки и отраслевые меры. </w:t>
      </w:r>
    </w:p>
    <w:p w:rsidR="00A350F6" w:rsidRPr="00025409" w:rsidRDefault="00A350F6" w:rsidP="00937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оказания поддержки субъектам малого и среднего предпринимательства действ</w:t>
      </w:r>
      <w:r w:rsidR="00531895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овали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сниженные налоговые ставки по упрощенной системе налогообложения, 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</w:t>
      </w:r>
      <w:r w:rsidR="00531895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ены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микрозаймы</w:t>
      </w:r>
      <w:proofErr w:type="spellEnd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субъектам малого и среднего предпринимательства и </w:t>
      </w:r>
      <w:proofErr w:type="spellStart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самозанятым</w:t>
      </w:r>
      <w:proofErr w:type="spellEnd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гражданам по льготным ставкам, осуществл</w:t>
      </w:r>
      <w:r w:rsidR="00531895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субсидирование части затрат на приобретение оборудования и гранты социальным субъектам малого и среднего предпринимательства. </w:t>
      </w:r>
    </w:p>
    <w:p w:rsidR="00A350F6" w:rsidRPr="00025409" w:rsidRDefault="00A350F6" w:rsidP="009372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строительства (для фиксации цен на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стройматериалы) обеспечена 100 процентная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контрактация объектов строительства, заключ</w:t>
      </w:r>
      <w:r w:rsidR="00531895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госконтракты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единственными поставщиками, установлены предельные размеры авансовых платежей договоров и государственных контрактов в целях поддержки участников государственных закупок.</w:t>
      </w:r>
    </w:p>
    <w:p w:rsidR="00531895" w:rsidRPr="00025409" w:rsidRDefault="00531895" w:rsidP="009372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отраслям экономики обеспечен рост по итогам 2022 года, так, индекс промышленного производства составил 137,1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розничного товарооборота составил 3,4 процента, платные услуги возросли на 5 процентов, по численности занятых в сфере малого и среднего предпринимательства обеспечен рост на 27,8 процента, ввод жилья на 28,8 процента, также обеспечено снижение безработицы – в 1,5 раза снизилась численность официально зарегистрированных безработных граждан. </w:t>
      </w:r>
    </w:p>
    <w:p w:rsidR="00D26B34" w:rsidRDefault="00D26B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0677" w:rsidRPr="00025409" w:rsidRDefault="00040677" w:rsidP="00D26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025409">
        <w:rPr>
          <w:rFonts w:ascii="Times New Roman" w:hAnsi="Times New Roman" w:cs="Times New Roman"/>
          <w:sz w:val="28"/>
          <w:szCs w:val="28"/>
        </w:rPr>
        <w:t>. Основные направления и характеристики</w:t>
      </w:r>
    </w:p>
    <w:p w:rsidR="00D26B34" w:rsidRDefault="00040677" w:rsidP="00D26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040677" w:rsidRPr="00025409" w:rsidRDefault="00040677" w:rsidP="00D26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Республики Тыва</w:t>
      </w:r>
      <w:r w:rsidR="00D26B34">
        <w:rPr>
          <w:rFonts w:ascii="Times New Roman" w:hAnsi="Times New Roman" w:cs="Times New Roman"/>
          <w:sz w:val="28"/>
          <w:szCs w:val="28"/>
        </w:rPr>
        <w:t xml:space="preserve"> </w:t>
      </w:r>
      <w:r w:rsidRPr="00025409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F7067B" w:rsidRPr="00025409">
        <w:rPr>
          <w:rFonts w:ascii="Times New Roman" w:hAnsi="Times New Roman" w:cs="Times New Roman"/>
          <w:sz w:val="28"/>
          <w:szCs w:val="28"/>
        </w:rPr>
        <w:t>2035</w:t>
      </w:r>
      <w:r w:rsidRPr="0002540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F7392" w:rsidRPr="00025409" w:rsidRDefault="00EF7392" w:rsidP="00D26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677" w:rsidRDefault="00040677" w:rsidP="00D2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1. Валовой региональный продукт</w:t>
      </w:r>
    </w:p>
    <w:p w:rsidR="00D26B34" w:rsidRPr="00025409" w:rsidRDefault="00D26B34" w:rsidP="00D2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F4" w:rsidRPr="00025409" w:rsidRDefault="00FA6CF4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2022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санкционного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 индекс объема 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валового регионального продукта (далее </w:t>
      </w:r>
      <w:r w:rsid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ВРП)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на 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процентов к 2021 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95,2 млрд. руб. </w:t>
      </w:r>
    </w:p>
    <w:p w:rsidR="00FA6CF4" w:rsidRPr="00025409" w:rsidRDefault="00FA6CF4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2023 года ожидается умеренный рост объема ВРП с учетом стабилизации макроэкономических условий и развития отраслей экономики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 2030 году объем ВРП ожидается в размере 142 млрд. руб.</w:t>
      </w:r>
      <w:r w:rsidR="00BF4D3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индексом физического объема 102,3 процента.</w:t>
      </w:r>
    </w:p>
    <w:p w:rsidR="00FA6CF4" w:rsidRPr="00025409" w:rsidRDefault="00FA6CF4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На формирование положительной динамики показателя повлияет реализация инвестиционных проектов прежде всего в сфере промышленности, транспорта, строительства, </w:t>
      </w:r>
      <w:r w:rsidRPr="00025409">
        <w:rPr>
          <w:rFonts w:ascii="Times New Roman" w:hAnsi="Times New Roman" w:cs="Times New Roman"/>
          <w:color w:val="000000"/>
          <w:sz w:val="28"/>
          <w:szCs w:val="28"/>
        </w:rPr>
        <w:t>энергообеспечения,</w:t>
      </w:r>
      <w:r w:rsidRPr="0002540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том числе в рамках Индивидуальной программы социально-экономического развития Республики Тыва.</w:t>
      </w:r>
    </w:p>
    <w:p w:rsidR="00040677" w:rsidRPr="00025409" w:rsidRDefault="00040677" w:rsidP="00937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9">
        <w:rPr>
          <w:rFonts w:ascii="Times New Roman" w:hAnsi="Times New Roman" w:cs="Times New Roman"/>
          <w:bCs/>
          <w:sz w:val="28"/>
          <w:szCs w:val="28"/>
        </w:rPr>
        <w:t>К 203</w:t>
      </w:r>
      <w:r w:rsidR="00186375" w:rsidRPr="00025409">
        <w:rPr>
          <w:rFonts w:ascii="Times New Roman" w:hAnsi="Times New Roman" w:cs="Times New Roman"/>
          <w:bCs/>
          <w:sz w:val="28"/>
          <w:szCs w:val="28"/>
        </w:rPr>
        <w:t>5</w:t>
      </w:r>
      <w:r w:rsidRPr="00025409">
        <w:rPr>
          <w:rFonts w:ascii="Times New Roman" w:hAnsi="Times New Roman" w:cs="Times New Roman"/>
          <w:bCs/>
          <w:sz w:val="28"/>
          <w:szCs w:val="28"/>
        </w:rPr>
        <w:t xml:space="preserve"> году объем </w:t>
      </w:r>
      <w:r w:rsidR="00BF4D34" w:rsidRPr="00025409">
        <w:rPr>
          <w:rFonts w:ascii="Times New Roman" w:hAnsi="Times New Roman" w:cs="Times New Roman"/>
          <w:bCs/>
          <w:sz w:val="28"/>
          <w:szCs w:val="28"/>
        </w:rPr>
        <w:t xml:space="preserve">ВРП </w:t>
      </w:r>
      <w:r w:rsidRPr="00025409">
        <w:rPr>
          <w:rFonts w:ascii="Times New Roman" w:hAnsi="Times New Roman" w:cs="Times New Roman"/>
          <w:bCs/>
          <w:sz w:val="28"/>
          <w:szCs w:val="28"/>
        </w:rPr>
        <w:t xml:space="preserve">увеличится в </w:t>
      </w:r>
      <w:r w:rsidR="005A20FE" w:rsidRPr="00025409">
        <w:rPr>
          <w:rFonts w:ascii="Times New Roman" w:hAnsi="Times New Roman" w:cs="Times New Roman"/>
          <w:bCs/>
          <w:sz w:val="28"/>
          <w:szCs w:val="28"/>
        </w:rPr>
        <w:t>2,3</w:t>
      </w:r>
      <w:r w:rsidRPr="00025409">
        <w:rPr>
          <w:rFonts w:ascii="Times New Roman" w:hAnsi="Times New Roman" w:cs="Times New Roman"/>
          <w:bCs/>
          <w:sz w:val="28"/>
          <w:szCs w:val="28"/>
        </w:rPr>
        <w:t xml:space="preserve"> раза </w:t>
      </w:r>
      <w:r w:rsidR="005A20FE" w:rsidRPr="00025409">
        <w:rPr>
          <w:rFonts w:ascii="Times New Roman" w:hAnsi="Times New Roman" w:cs="Times New Roman"/>
          <w:bCs/>
          <w:sz w:val="28"/>
          <w:szCs w:val="28"/>
        </w:rPr>
        <w:t xml:space="preserve">к уровню 2021 года </w:t>
      </w:r>
      <w:r w:rsidRPr="00025409">
        <w:rPr>
          <w:rFonts w:ascii="Times New Roman" w:hAnsi="Times New Roman" w:cs="Times New Roman"/>
          <w:bCs/>
          <w:sz w:val="28"/>
          <w:szCs w:val="28"/>
        </w:rPr>
        <w:t xml:space="preserve">и составит </w:t>
      </w:r>
      <w:r w:rsidR="005A20FE" w:rsidRPr="00025409">
        <w:rPr>
          <w:rFonts w:ascii="Times New Roman" w:hAnsi="Times New Roman" w:cs="Times New Roman"/>
          <w:bCs/>
          <w:sz w:val="28"/>
          <w:szCs w:val="28"/>
        </w:rPr>
        <w:t>199,3</w:t>
      </w:r>
      <w:r w:rsidRPr="00025409">
        <w:rPr>
          <w:rFonts w:ascii="Times New Roman" w:hAnsi="Times New Roman" w:cs="Times New Roman"/>
          <w:bCs/>
          <w:sz w:val="28"/>
          <w:szCs w:val="28"/>
        </w:rPr>
        <w:t xml:space="preserve"> млрд. рублей</w:t>
      </w:r>
      <w:r w:rsidR="004C57CF" w:rsidRPr="00025409">
        <w:rPr>
          <w:rFonts w:ascii="Times New Roman" w:hAnsi="Times New Roman" w:cs="Times New Roman"/>
          <w:bCs/>
          <w:sz w:val="28"/>
          <w:szCs w:val="28"/>
        </w:rPr>
        <w:t xml:space="preserve"> по базовому сценарию</w:t>
      </w:r>
      <w:r w:rsidRPr="00025409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D27F3E" w:rsidRPr="00025409" w:rsidRDefault="00D27F3E" w:rsidP="00D2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5AF0" w:rsidRDefault="00305AF0" w:rsidP="00D2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2. Промышленность</w:t>
      </w:r>
    </w:p>
    <w:p w:rsidR="00D26B34" w:rsidRPr="00025409" w:rsidRDefault="00D26B34" w:rsidP="00D2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3DF" w:rsidRPr="00025409" w:rsidRDefault="00E543DF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 xml:space="preserve">Промышленный комплекс в прогнозном периоде будет характеризоваться увеличением доли добывающей отрасли и повышением эффективности энергетического комплекса за счет реализации инвестиционных проектов. </w:t>
      </w:r>
    </w:p>
    <w:p w:rsidR="00E543DF" w:rsidRPr="00025409" w:rsidRDefault="00E543DF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Темп роста в горнодобывающей отрасли будет обеспечиваться преимущественно за счет наращивания оборотов ООО «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Лунсин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>» на новом месторождении «Дальний» (ожидается рост объема добычи полиметаллической руды) и ООО «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Тардан-Голд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>» (за счет реализации инвестиционного проекта по добыче золота на Кара-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Бельдирском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месторождении), деятельности угледобывающей компании ООО «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Межегейуголь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>».</w:t>
      </w:r>
      <w:r w:rsidR="00BF4D34" w:rsidRPr="00025409">
        <w:rPr>
          <w:rFonts w:ascii="Times New Roman" w:hAnsi="Times New Roman" w:cs="Times New Roman"/>
          <w:sz w:val="28"/>
          <w:szCs w:val="28"/>
        </w:rPr>
        <w:t xml:space="preserve"> Так</w:t>
      </w:r>
      <w:r w:rsidRPr="00025409">
        <w:rPr>
          <w:rFonts w:ascii="Times New Roman" w:hAnsi="Times New Roman" w:cs="Times New Roman"/>
          <w:sz w:val="28"/>
          <w:szCs w:val="28"/>
        </w:rPr>
        <w:t>же рост будет обеспечен за счет реализации инвестиционного проекта «освоение Ак-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Сугского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медно-порфирового месторождения</w:t>
      </w:r>
      <w:r w:rsidR="00BF4D34" w:rsidRPr="00025409">
        <w:rPr>
          <w:rFonts w:ascii="Times New Roman" w:hAnsi="Times New Roman" w:cs="Times New Roman"/>
          <w:sz w:val="28"/>
          <w:szCs w:val="28"/>
        </w:rPr>
        <w:t>»</w:t>
      </w:r>
      <w:r w:rsidRPr="00025409">
        <w:rPr>
          <w:rFonts w:ascii="Times New Roman" w:hAnsi="Times New Roman" w:cs="Times New Roman"/>
          <w:sz w:val="28"/>
          <w:szCs w:val="28"/>
        </w:rPr>
        <w:t xml:space="preserve"> в рамках которого планируется строительство горно-обогатительного комбината предприятием ООО «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Голевская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горнорудная компания». Выход </w:t>
      </w:r>
      <w:r w:rsidR="00BF4D34" w:rsidRPr="00025409">
        <w:rPr>
          <w:rFonts w:ascii="Times New Roman" w:hAnsi="Times New Roman" w:cs="Times New Roman"/>
          <w:sz w:val="28"/>
          <w:szCs w:val="28"/>
        </w:rPr>
        <w:t xml:space="preserve">данного комбината </w:t>
      </w:r>
      <w:r w:rsidRPr="00025409">
        <w:rPr>
          <w:rFonts w:ascii="Times New Roman" w:hAnsi="Times New Roman" w:cs="Times New Roman"/>
          <w:sz w:val="28"/>
          <w:szCs w:val="28"/>
        </w:rPr>
        <w:t xml:space="preserve">на проектные показатели мощностью до 24 млн. тонн руды в год планируется к концу 2027 года. </w:t>
      </w:r>
    </w:p>
    <w:p w:rsidR="00E543DF" w:rsidRPr="00025409" w:rsidRDefault="00E543DF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 xml:space="preserve">Одним из условий выхода на полную проектную мощность действующих горнодобывающих предприятий является строительство железной дороги («Элегест – Кызыл – Курагино»). Также </w:t>
      </w:r>
      <w:r w:rsidR="00D35288" w:rsidRPr="00025409">
        <w:rPr>
          <w:rFonts w:ascii="Times New Roman" w:hAnsi="Times New Roman" w:cs="Times New Roman"/>
          <w:sz w:val="28"/>
          <w:szCs w:val="28"/>
        </w:rPr>
        <w:t xml:space="preserve">в прогнозный период планируется </w:t>
      </w:r>
      <w:r w:rsidRPr="00025409">
        <w:rPr>
          <w:rFonts w:ascii="Times New Roman" w:hAnsi="Times New Roman" w:cs="Times New Roman"/>
          <w:sz w:val="28"/>
          <w:szCs w:val="28"/>
        </w:rPr>
        <w:t xml:space="preserve">реализовать перспективные новые инвестиционные проекты по добыче золота на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Деспенском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золоторудном месторождении, свинцово-цинковых руд – на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Солчурском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месторождении, золото-медно-молибденовых руд – на Кызыл-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Чадрском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месторождении, лития </w:t>
      </w:r>
      <w:r w:rsidR="00093E77">
        <w:rPr>
          <w:rFonts w:ascii="Times New Roman" w:hAnsi="Times New Roman" w:cs="Times New Roman"/>
          <w:sz w:val="28"/>
          <w:szCs w:val="28"/>
        </w:rPr>
        <w:t>–</w:t>
      </w:r>
      <w:r w:rsidR="00D35288" w:rsidRPr="00025409">
        <w:rPr>
          <w:rFonts w:ascii="Times New Roman" w:hAnsi="Times New Roman" w:cs="Times New Roman"/>
          <w:sz w:val="28"/>
          <w:szCs w:val="28"/>
        </w:rPr>
        <w:t xml:space="preserve"> </w:t>
      </w:r>
      <w:r w:rsidRPr="000254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Тастыгском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месторождении, тантала и ниобия – на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Улуг-Танзекском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месторождении, рудного золота – на Алдан-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Маадырском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месторождении, ниобия, тантала, циркония – на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Арысканском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месторождении, </w:t>
      </w:r>
      <w:proofErr w:type="spellStart"/>
      <w:r w:rsidR="00D35288" w:rsidRPr="00025409">
        <w:rPr>
          <w:rFonts w:ascii="Times New Roman" w:hAnsi="Times New Roman" w:cs="Times New Roman"/>
          <w:sz w:val="28"/>
          <w:szCs w:val="28"/>
        </w:rPr>
        <w:t>небокситного</w:t>
      </w:r>
      <w:proofErr w:type="spellEnd"/>
      <w:r w:rsidR="00D35288" w:rsidRPr="00025409">
        <w:rPr>
          <w:rFonts w:ascii="Times New Roman" w:hAnsi="Times New Roman" w:cs="Times New Roman"/>
          <w:sz w:val="28"/>
          <w:szCs w:val="28"/>
        </w:rPr>
        <w:t xml:space="preserve"> алюминия </w:t>
      </w:r>
      <w:r w:rsidR="00093E77">
        <w:rPr>
          <w:rFonts w:ascii="Times New Roman" w:hAnsi="Times New Roman" w:cs="Times New Roman"/>
          <w:sz w:val="28"/>
          <w:szCs w:val="28"/>
        </w:rPr>
        <w:t>–</w:t>
      </w:r>
      <w:r w:rsidR="00D35288" w:rsidRPr="00025409">
        <w:rPr>
          <w:rFonts w:ascii="Times New Roman" w:hAnsi="Times New Roman" w:cs="Times New Roman"/>
          <w:sz w:val="28"/>
          <w:szCs w:val="28"/>
        </w:rPr>
        <w:t xml:space="preserve"> </w:t>
      </w:r>
      <w:r w:rsidRPr="000254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Баянкольском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месторождении.</w:t>
      </w:r>
    </w:p>
    <w:p w:rsidR="00E543DF" w:rsidRPr="00025409" w:rsidRDefault="00E543DF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lastRenderedPageBreak/>
        <w:t>В рамках Комплексного плана энергоснабжения инвестиционных проектов в промышленной и социальной сферах на территории Республики Тыва будет обеспечено технологическое присоединения к электрическим сетям, и организация над</w:t>
      </w:r>
      <w:r w:rsidR="00093E77">
        <w:rPr>
          <w:rFonts w:ascii="Times New Roman" w:hAnsi="Times New Roman" w:cs="Times New Roman"/>
          <w:sz w:val="28"/>
          <w:szCs w:val="28"/>
        </w:rPr>
        <w:t>е</w:t>
      </w:r>
      <w:r w:rsidRPr="00025409">
        <w:rPr>
          <w:rFonts w:ascii="Times New Roman" w:hAnsi="Times New Roman" w:cs="Times New Roman"/>
          <w:sz w:val="28"/>
          <w:szCs w:val="28"/>
        </w:rPr>
        <w:t>жного и бесперебойного энергоснабжения Ак-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Сугского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>, Кызыл-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Таштыгского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и Кара-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Бельдирского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горно-обогатительных комбинатов, и населенных пунктов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 xml:space="preserve">. Тоора-Хем и </w:t>
      </w:r>
      <w:proofErr w:type="spellStart"/>
      <w:r w:rsidRPr="00025409">
        <w:rPr>
          <w:rFonts w:ascii="Times New Roman" w:hAnsi="Times New Roman" w:cs="Times New Roman"/>
          <w:sz w:val="28"/>
          <w:szCs w:val="28"/>
        </w:rPr>
        <w:t>Ырбан</w:t>
      </w:r>
      <w:proofErr w:type="spellEnd"/>
      <w:r w:rsidRPr="00025409">
        <w:rPr>
          <w:rFonts w:ascii="Times New Roman" w:hAnsi="Times New Roman" w:cs="Times New Roman"/>
          <w:sz w:val="28"/>
          <w:szCs w:val="28"/>
        </w:rPr>
        <w:t>). Линии электропередач позволят обеспечить промышленных потребителей энергоснабжением для выхода на полную проектную мощность.</w:t>
      </w:r>
    </w:p>
    <w:p w:rsidR="00E543DF" w:rsidRPr="00025409" w:rsidRDefault="00E543DF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В структуре обрабатывающих отраслей промышленности увеличится доля лесопромышленного комплекса, пищевой промышленности, производства строительных материалов. Рост будет обеспечен за счет реализуемых и новых инвестиционных проектов, в том числе и в рамках Индивидуальной программы социально-экономического развития Республики Тыва. Также благоприятные условия для развития производств будут созданы в результате функционирования индустриального парка в г. Кызыле.</w:t>
      </w:r>
    </w:p>
    <w:p w:rsidR="00E543DF" w:rsidRDefault="00E543DF" w:rsidP="00937238">
      <w:pPr>
        <w:pBdr>
          <w:bottom w:val="single" w:sz="6" w:space="1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промышленного производства к 2035 году увеличится до 73,5 млрд. рублей по базовому сценарию (2021 год – 27,5 млрд. руб.) при условии реализации планируемых проектов. В сравнении с 2021 годом объем промышленного производства возрастет в 2,6 раза в сопоставимых ценах.</w:t>
      </w:r>
    </w:p>
    <w:p w:rsidR="00FD3592" w:rsidRDefault="00305AF0" w:rsidP="00093E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409">
        <w:rPr>
          <w:rFonts w:ascii="Times New Roman" w:eastAsia="Calibri" w:hAnsi="Times New Roman" w:cs="Times New Roman"/>
          <w:sz w:val="28"/>
          <w:szCs w:val="28"/>
        </w:rPr>
        <w:t>3</w:t>
      </w:r>
      <w:r w:rsidR="00FD3592" w:rsidRPr="00025409">
        <w:rPr>
          <w:rFonts w:ascii="Times New Roman" w:eastAsia="Calibri" w:hAnsi="Times New Roman" w:cs="Times New Roman"/>
          <w:sz w:val="28"/>
          <w:szCs w:val="28"/>
        </w:rPr>
        <w:t>. Сельское хозяйство</w:t>
      </w:r>
    </w:p>
    <w:p w:rsidR="00093E77" w:rsidRPr="00025409" w:rsidRDefault="00093E77" w:rsidP="00093E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323" w:rsidRPr="00025409" w:rsidRDefault="00674323" w:rsidP="00937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</w:rPr>
        <w:t>В долгосрочной перспективе в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агропромышленном комплексе предусматривается комплексный подход развития животноводства, </w:t>
      </w:r>
      <w:r w:rsidR="00301EDF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растениеводства,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кормопроизводства, модернизации и технического перевооружения, создания современной перерабатывающей индустрии, отвечающей международным ветеринарно-санитарным требованиям, реализации и оптимальной логистики. </w:t>
      </w:r>
    </w:p>
    <w:p w:rsidR="00674323" w:rsidRPr="00025409" w:rsidRDefault="00674323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звеном в реализации намеченных задач является создание республиканского селекционно-племенного центра для повышения продуктивности скота, в растениеводстве – вовлечение в севооборот новых сельхозземель, повышение урожайности полей при одновременном снижении рисков от природно-климатических условий и переходу к новым технологиям, технической модернизации, мелиорации земель в засушливых зонах.</w:t>
      </w:r>
    </w:p>
    <w:p w:rsidR="00674323" w:rsidRPr="00025409" w:rsidRDefault="00674323" w:rsidP="00937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поставленных задач в рамках государственных программ по развитию сельского хозяйства будут применяться меры, предусматривающие ввод дополнительных производственных мощностей с учетом применения кластерного подхода в организации агропромышленного комплекса республики. </w:t>
      </w:r>
    </w:p>
    <w:p w:rsidR="00674323" w:rsidRPr="00025409" w:rsidRDefault="00674323" w:rsidP="00937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приняты меры по наращиванию производства зерновых культур для производства зерна, муки, семенного материала. На территории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Тандинского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кожуунов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возведены зернохранилища с полным оснащением специализированным оборудованием и комплексом машин для доведения зерна до кондиции, мельничные предприятия.</w:t>
      </w:r>
    </w:p>
    <w:p w:rsidR="00674323" w:rsidRPr="00025409" w:rsidRDefault="00674323" w:rsidP="00937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молочных и мясных направлений животноводства будут продолжены реализация мер по расширению действующих молочно-товарных ферм, а также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открытию новых производств по переработке молока, будут создаваться откормочные площадки крупного рогатого скота.</w:t>
      </w:r>
    </w:p>
    <w:p w:rsidR="00674323" w:rsidRPr="00025409" w:rsidRDefault="00674323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приоритетной задачей останется</w:t>
      </w:r>
      <w:r w:rsidR="00BD6A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поддержка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перерабатывающих предприятий. В целях реализации высоко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экологичных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безотходных производств предусматривается создание убойных цехов с переработкой в</w:t>
      </w:r>
      <w:r w:rsidRPr="000254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006C22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r w:rsidR="00260589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r w:rsidR="00260589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оптово-логистического центра с глубокой переработкой зерна в г. Кызыле, оптово-распределительного центра картофеля и овощей на 1000 т единовременного хранения в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Кызылском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фабрики </w:t>
      </w:r>
      <w:r w:rsidR="00260589" w:rsidRPr="0002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первичной обработки </w:t>
      </w:r>
      <w:proofErr w:type="spellStart"/>
      <w:r w:rsidR="00260589" w:rsidRPr="0002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шертси</w:t>
      </w:r>
      <w:proofErr w:type="spellEnd"/>
      <w:r w:rsidRPr="0002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организация глубокой переработки рыбной продукции.</w:t>
      </w:r>
    </w:p>
    <w:p w:rsidR="00093E77" w:rsidRDefault="00674323" w:rsidP="0009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по прогнозу объем производства сельского хозяйства достигнет к 2035 году 12,1-12,3 млрд. рублей, к уровню 202</w:t>
      </w:r>
      <w:r w:rsidR="00EB5E7A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года увеличится на 22,1-25,7 </w:t>
      </w:r>
      <w:r w:rsidR="00EB5E7A" w:rsidRPr="00025409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сопоставимых ценах.</w:t>
      </w:r>
    </w:p>
    <w:p w:rsidR="00093E77" w:rsidRDefault="00093E77" w:rsidP="00093E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5AF0" w:rsidRDefault="00305AF0" w:rsidP="0009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4. Инвестиции в основной капитал</w:t>
      </w:r>
    </w:p>
    <w:p w:rsidR="00093E77" w:rsidRPr="00093E77" w:rsidRDefault="00093E77" w:rsidP="00093E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37BC" w:rsidRPr="00025409" w:rsidRDefault="000534C5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долгосрочной перспективе б</w:t>
      </w:r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азовый вариант прогноза инвестиций основан на умеренном ускорении экономического роста в республике</w:t>
      </w:r>
      <w:r w:rsidR="0021378D" w:rsidRPr="0002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будет </w:t>
      </w:r>
      <w:r w:rsidR="0021378D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обусловлен </w:t>
      </w:r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строительством ГОК и необходимой инфраструктуры (ЛЭП, ПС, автодорога) горнодобывающих компаний ООО «</w:t>
      </w:r>
      <w:proofErr w:type="spellStart"/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Голевская</w:t>
      </w:r>
      <w:proofErr w:type="spellEnd"/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горнорудная компания», ООО «Кара-</w:t>
      </w:r>
      <w:proofErr w:type="spellStart"/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Бельдир</w:t>
      </w:r>
      <w:proofErr w:type="spellEnd"/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6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Лунсин</w:t>
      </w:r>
      <w:proofErr w:type="spellEnd"/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(строительство второго этапа шахты), </w:t>
      </w:r>
      <w:r w:rsidR="0021378D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созданием новых производств в сфере обрабатывающей промышленности</w:t>
      </w:r>
      <w:r w:rsidR="002137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378D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строительных материалов, текстильной промышленности (расширение производства БТК-групп</w:t>
      </w:r>
      <w:r w:rsidR="00D27F3E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1378D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функционированием промышленного парка «Индустриальный парк г. Кызыла», производство невзрывчатых компонентов эмульсионных взрывчатых веществ дл</w:t>
      </w:r>
      <w:r w:rsidR="00D27F3E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нужд горнодобывающих компаний</w:t>
      </w:r>
      <w:r w:rsidR="0021378D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организация серийного производства вездеходных транспортных средств)</w:t>
      </w:r>
      <w:r w:rsidR="00D27F3E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378D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проектов в сфере туризма с объемом инвестиций свыше 2 млрд. рублей. </w:t>
      </w:r>
    </w:p>
    <w:p w:rsidR="0021378D" w:rsidRPr="00025409" w:rsidRDefault="0021378D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приоритетных направлений в вопросе стимулирования новых капиталоемких проектов на территории Республики Тыва является создание особых режимов ведения инвестиционной деятельности. </w:t>
      </w:r>
    </w:p>
    <w:p w:rsidR="0021378D" w:rsidRPr="00025409" w:rsidRDefault="0021378D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приграничного положения республики расположение преференциальной зоны рассматривается в непосредственной близости от российско-монгольской государственной границы на базе инвестиционного проекта «Создание в непосредственной близости от автомобильного пункта пропуска «</w:t>
      </w:r>
      <w:proofErr w:type="spellStart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Хандагайты</w:t>
      </w:r>
      <w:proofErr w:type="spellEnd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таможенно-логистического терминала». </w:t>
      </w:r>
    </w:p>
    <w:p w:rsidR="006E1D12" w:rsidRPr="00025409" w:rsidRDefault="006E1D12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Республике Тыва будет продолжена реализация национальных проектов, осуществление капитальных вложений в рамках государственных программ республики, а также федеральных программ. Для улучшения уровня жизни населения будет продолжено строительство и капитальный ремонт объектов социальной сферы, в т.ч. завершение строительства 7 общеобразовательных школ, начатых в 2022 году, Спортивно-культурного центра </w:t>
      </w:r>
      <w:proofErr w:type="spellStart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строительство объекта «Центр культурного развития в г. Кызыл</w:t>
      </w:r>
      <w:r w:rsidR="00386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др.</w:t>
      </w:r>
    </w:p>
    <w:p w:rsidR="006E1D12" w:rsidRPr="00025409" w:rsidRDefault="006E1D12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федеральной адресной инвестиционной программы планируется строительство крупных объектов здравоохранения «Республиканская детская больница в 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г. Кызыле на 150 коек», «Республиканский онкологический диспансер в г. Кызыле», «Республиканская туберкулезная больница в г. Кызыле».</w:t>
      </w:r>
    </w:p>
    <w:p w:rsidR="006E1D12" w:rsidRPr="00025409" w:rsidRDefault="006E1D12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федеральной поддержки в рамках Федеральной программы «Стимул», а также за счет средств инфраструктурных бюджетных кредитов продолжится строительство инженерной инфраструктуры для кварталов многоквартирного жилищного строительства, в т</w:t>
      </w:r>
      <w:r w:rsidR="00386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числе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будет способствовать в долгосрочной перспективе привлечению внебюджетных инвестиций. </w:t>
      </w:r>
    </w:p>
    <w:p w:rsidR="006E1D12" w:rsidRPr="00025409" w:rsidRDefault="006E1D12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Продолжится реализация Индивидуальной программы социально-экономического развития республики, в рамках которой будут реализованы проекты в сфере производства строительных материалов, туризма, сельского хозяйства.</w:t>
      </w:r>
    </w:p>
    <w:p w:rsidR="000534C5" w:rsidRPr="00025409" w:rsidRDefault="000534C5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2035 году объем инвестиций в основ</w:t>
      </w:r>
      <w:r w:rsidR="00E543DF"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капитал ожидается в размере 34,7 млрд. руб., с ростом в 2,2 раза в сопоставимых ценах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уровню 2021 года.</w:t>
      </w:r>
    </w:p>
    <w:p w:rsidR="00093E77" w:rsidRDefault="00093E77" w:rsidP="0009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</w:p>
    <w:p w:rsidR="001128FA" w:rsidRDefault="00BD484A" w:rsidP="0009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5. </w:t>
      </w:r>
      <w:r w:rsidR="001128FA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Строительство</w:t>
      </w:r>
    </w:p>
    <w:p w:rsidR="00093E77" w:rsidRPr="00025409" w:rsidRDefault="00093E77" w:rsidP="0009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</w:p>
    <w:p w:rsidR="001128FA" w:rsidRPr="00025409" w:rsidRDefault="001128FA" w:rsidP="0093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В республике из-за изношенности существующих </w:t>
      </w:r>
      <w:r w:rsidR="00386F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с</w:t>
      </w:r>
      <w:r w:rsidR="00850F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етей</w:t>
      </w:r>
      <w:r w:rsidR="00386F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и отсутствия новой инженерной инфраструктуры многоквартирные жилые дома в основном строились</w:t>
      </w:r>
      <w:r w:rsidR="00153A0B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по программе переселения граждан из ветхого и аварийного жилищного фонда и программе предоставления жилых помещений детям-сиротам и детям, оставшимся без попечения родителей, лицам из их числа.</w:t>
      </w:r>
    </w:p>
    <w:p w:rsidR="00CD28A3" w:rsidRPr="00025409" w:rsidRDefault="001128FA" w:rsidP="0093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В целях активизации жилищного строительства для создания необходимого объема предложения на рынке жилья Правительство Республики Тыва сосредоточило усилия на увеличении объемов жилищного строительства, в первую очередь, </w:t>
      </w:r>
      <w:r w:rsidRPr="0002540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на наращивании темпов инвестиционного жилищного строительства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.</w:t>
      </w:r>
      <w:r w:rsidR="0065312F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Приняты нормативно-правовые акты, упрощающие условия предоставления земельных участков инвесторам, в том числе,</w:t>
      </w:r>
      <w:r w:rsidR="00F16C5E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реализована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возможность предоставления инвесторам земельных участков под строительство жилья и социально значимых объектов без проведения аукциона, </w:t>
      </w:r>
      <w:r w:rsidR="0031390B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что направлено на решение жилищных проблем отдельных категорий граждан.</w:t>
      </w:r>
    </w:p>
    <w:p w:rsidR="001128FA" w:rsidRPr="00025409" w:rsidRDefault="001128FA" w:rsidP="0093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Кроме того, Правительством Республики Тыва принято решение о запуске масштабных инвестиционных жилищных проектов до </w:t>
      </w:r>
      <w:r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2030 года, по итогам </w:t>
      </w:r>
      <w:proofErr w:type="gramStart"/>
      <w:r w:rsidR="003F202E"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реализации</w:t>
      </w:r>
      <w:proofErr w:type="gramEnd"/>
      <w:r w:rsidR="003F202E"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которых планируется строительство 201</w:t>
      </w:r>
      <w:r w:rsidR="003F202E"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многоквартирн</w:t>
      </w:r>
      <w:r w:rsidR="00386FF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ого</w:t>
      </w:r>
      <w:r w:rsidRPr="00025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жил</w:t>
      </w:r>
      <w:r w:rsidR="00386FF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ого</w:t>
      </w:r>
      <w:r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 дом</w:t>
      </w:r>
      <w:r w:rsidR="00386FF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а</w:t>
      </w:r>
      <w:r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 с общим количеством квартир 9005, общей площадью 405,64 тыс. </w:t>
      </w:r>
      <w:r w:rsidR="00840716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кв.м</w:t>
      </w:r>
      <w:r w:rsidRPr="00025409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 жилья. В среднем ежегодно планируется обеспечить ввод до 1100 квартир.</w:t>
      </w:r>
    </w:p>
    <w:p w:rsidR="001128FA" w:rsidRPr="00025409" w:rsidRDefault="001128FA" w:rsidP="0093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Общая площадь жилых помещений, приходящаяся в среднем на одного жителя республики,</w:t>
      </w:r>
      <w:r w:rsidR="00193A58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на начало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2022 г. составляет 14,8 кв.м</w:t>
      </w:r>
      <w:r w:rsidR="00193A58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(в среднем по </w:t>
      </w:r>
      <w:r w:rsidR="00A54FDD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стране</w:t>
      </w:r>
      <w:r w:rsidR="00093E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– </w:t>
      </w:r>
      <w:r w:rsidR="00A54FDD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18 кв.м). Реализация масштабных инвестиционных жилищных проектов</w:t>
      </w:r>
      <w:r w:rsidR="005C21DC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, национального проекта «Жилье и городская среда»</w:t>
      </w:r>
      <w:r w:rsidR="00F16A28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позволит обеспечить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жильем населени</w:t>
      </w:r>
      <w:r w:rsidR="00F16A28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е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="00F16A28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республики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до нормативного значения площади жилых помещений в среднем на одного человека</w:t>
      </w:r>
      <w:r w:rsidR="00F16A28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.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</w:p>
    <w:p w:rsidR="001128FA" w:rsidRPr="00025409" w:rsidRDefault="001128FA" w:rsidP="0093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Для обеспечения инженерной инфраструктурой земельных участков, предусмотренных под комплексную застройку,</w:t>
      </w:r>
      <w:r w:rsidR="00093E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развити</w:t>
      </w:r>
      <w:r w:rsidR="00F16A28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е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инженерной инфраструктуры ведется за счет инфраструктурных бюджетных кредитов, федеральных пр</w:t>
      </w:r>
      <w:r w:rsidR="00F16C5E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ограмм «Чистая вода» и «Стимул»</w:t>
      </w:r>
      <w:r w:rsidR="00093E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, </w:t>
      </w:r>
      <w:r w:rsidR="00034183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И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ндивидуальной программы социально-экономического развития Республики Тыва</w:t>
      </w:r>
      <w:r w:rsidR="003818A4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до 2024 года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.</w:t>
      </w:r>
    </w:p>
    <w:p w:rsidR="001128FA" w:rsidRPr="00025409" w:rsidRDefault="003818A4" w:rsidP="0093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lastRenderedPageBreak/>
        <w:t>Р</w:t>
      </w:r>
      <w:r w:rsidR="001128FA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азрабатываются 8 проектов комплексной застройки территорий с проектно-сметной документацией на строительство наружных инженерных сетей и 3 проекта на строительство очистных сооружений.</w:t>
      </w:r>
      <w:r w:rsidR="00705F70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В рамках к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омплексн</w:t>
      </w:r>
      <w:r w:rsidR="00705F70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ой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="00705F70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застройки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также </w:t>
      </w:r>
      <w:r w:rsidR="00705F70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предусмотрен</w:t>
      </w:r>
      <w:r w:rsidR="0084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</w:t>
      </w:r>
      <w:r w:rsidR="00705F70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строительство объектов образования (21 ед.), здравоохранения (</w:t>
      </w:r>
      <w:r w:rsidR="007202B5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4 ед.), спорта (9 ед.</w:t>
      </w:r>
      <w:r w:rsidR="002C342D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), культуры</w:t>
      </w:r>
      <w:r w:rsidR="007202B5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(8 ед.), торговых</w:t>
      </w:r>
      <w:r w:rsidR="00705F70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центров</w:t>
      </w:r>
      <w:r w:rsidR="007202B5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(8 ед.). </w:t>
      </w:r>
    </w:p>
    <w:p w:rsidR="001128FA" w:rsidRPr="00025409" w:rsidRDefault="001128FA" w:rsidP="0093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В целях стимулирования спроса на рынке жилья в условиях реализации масштабных жилищных проектов </w:t>
      </w:r>
      <w:r w:rsidR="008C5704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также </w:t>
      </w:r>
      <w:r w:rsidR="00550EFC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прорабатываются вопросы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снижени</w:t>
      </w:r>
      <w:r w:rsidR="00550EFC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я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процентной ставки по ипотечному кредитованию, аналогичной дальневосточной ипотеке</w:t>
      </w:r>
      <w:r w:rsidR="004D63D0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. </w:t>
      </w:r>
      <w:r w:rsidR="005F14A2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Кроме того, планируется реализовать региональную льготную ипотечную программу с целью привлечения</w:t>
      </w:r>
      <w:r w:rsidR="004D63D0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="005F14A2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и удержания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молодых специалистов в востребованных отраслях в республике. </w:t>
      </w:r>
    </w:p>
    <w:p w:rsidR="001128FA" w:rsidRPr="00025409" w:rsidRDefault="00D27F3E" w:rsidP="0093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В</w:t>
      </w:r>
      <w:r w:rsidR="001128FA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ышеприведенные меры приведут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к</w:t>
      </w:r>
      <w:r w:rsidR="001128FA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улучшению жилищных условий граждан, развитию механизма проектного финансирования, льготного кредитования, созданию дополнительного фондирования инвестиционного строительства</w:t>
      </w:r>
      <w:r w:rsidR="0084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, что</w:t>
      </w:r>
      <w:r w:rsidR="001128FA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повысит доступность жилья для населения республики.</w:t>
      </w:r>
    </w:p>
    <w:p w:rsidR="00093E77" w:rsidRDefault="00EB282B" w:rsidP="00093E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С 2021 по</w:t>
      </w:r>
      <w:r w:rsidR="00F16C5E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2035 год</w:t>
      </w:r>
      <w:r w:rsidR="0084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ы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всего будет в</w:t>
      </w:r>
      <w:r w:rsidR="00F16C5E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в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е</w:t>
      </w:r>
      <w:r w:rsidR="00F16C5E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д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ено</w:t>
      </w:r>
      <w:r w:rsidR="00F16C5E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жилья в объеме </w:t>
      </w:r>
      <w:r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2408,5 </w:t>
      </w:r>
      <w:r w:rsidR="00F16C5E" w:rsidRPr="000254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тыс. кв. м по базовому сценарию. </w:t>
      </w:r>
    </w:p>
    <w:p w:rsidR="00093E77" w:rsidRDefault="00093E77" w:rsidP="0009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</w:p>
    <w:p w:rsidR="00305AF0" w:rsidRDefault="00BD484A" w:rsidP="00093E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hAnsi="Times New Roman" w:cs="Times New Roman"/>
          <w:sz w:val="28"/>
          <w:szCs w:val="28"/>
        </w:rPr>
        <w:t>6</w:t>
      </w:r>
      <w:r w:rsidR="00305AF0" w:rsidRPr="00025409">
        <w:rPr>
          <w:rFonts w:ascii="Times New Roman" w:hAnsi="Times New Roman" w:cs="Times New Roman"/>
          <w:sz w:val="28"/>
          <w:szCs w:val="28"/>
        </w:rPr>
        <w:t>. Социальная сфера</w:t>
      </w:r>
    </w:p>
    <w:p w:rsidR="00093E77" w:rsidRPr="00093E77" w:rsidRDefault="00093E77" w:rsidP="0009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</w:p>
    <w:p w:rsidR="00B57E9E" w:rsidRPr="00025409" w:rsidRDefault="00B57E9E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сохранится устойчивая тенденция к увеличению численности населения, в основном за счет естественного прироста. К 2035 году численность населения республики возрастет до </w:t>
      </w:r>
      <w:r w:rsidR="00103DE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361,8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человек. В структуре населения сохранится высокий удельный вес населения младше трудоспособного возраста (детского населения), в силу сложившейся демографической ситуации по рождаемости населения.  </w:t>
      </w:r>
    </w:p>
    <w:p w:rsidR="00B57E9E" w:rsidRPr="00025409" w:rsidRDefault="00B57E9E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 рождаемости способствуют мероприятия, направленные на улучшение репродуктивного здоровья женского населения фертильного возраста, проводятся диспансеризация и профилактические медицинские осмотры</w:t>
      </w:r>
      <w:r w:rsidR="00FC7E7C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мер по своевременному и раннему выявлению злокачественных новообразований репродуктивной системы организма человека,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высокотехнологической медицинской </w:t>
      </w:r>
      <w:r w:rsidR="0093569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помощи, включая </w:t>
      </w:r>
      <w:r w:rsidR="00E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процедуры ЭКО.</w:t>
      </w:r>
    </w:p>
    <w:p w:rsidR="00B57E9E" w:rsidRPr="00025409" w:rsidRDefault="00B57E9E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смертности населения осуществляются </w:t>
      </w:r>
      <w:r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мероприятия по ведению здорового образа жизни, снижению и профилактике распространения употребления алкогольных напитков, суицидов и дорожно-транспортных происшествий, в том числе путем </w:t>
      </w:r>
      <w:r w:rsidRPr="00025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уровня информированности населения. Также, реализуются мероприятия по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материально-технической базы медицинских организаций в рамках национального проекта «Здравоохранение», программы «Модернизация первичного звена здравоохранения Республики Тыва на 2021-2025 годы». </w:t>
      </w:r>
      <w:r w:rsidR="00090C2B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программных мероприятий </w:t>
      </w:r>
      <w:r w:rsidR="00FC7E7C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строительство объектов здравоохранения 18 медицинских организаций, продолжатся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реконструкция, капитальный ремонт медицинских организаций, приобретение медицинского оборудования,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отрасли. </w:t>
      </w:r>
    </w:p>
    <w:p w:rsidR="009600F1" w:rsidRPr="00025409" w:rsidRDefault="00B57E9E" w:rsidP="0093723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обеспечения медицинских организаций квалифицированными врачебными кадрами </w:t>
      </w:r>
      <w:r w:rsidR="00197266"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продолжится подготовка кадров в рамках целевой подготовки</w:t>
      </w:r>
      <w:r w:rsidR="00E622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97266"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808DE"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особенно </w:t>
      </w:r>
      <w:r w:rsidR="00E622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="003808DE"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узким специальностям, а также </w:t>
      </w:r>
      <w:r w:rsidR="00E622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реализация </w:t>
      </w:r>
      <w:r w:rsidR="002D4975"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программы «Земский доктор» способствует </w:t>
      </w:r>
      <w:r w:rsidR="0031195D"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закрытию вакансий в </w:t>
      </w:r>
      <w:proofErr w:type="spellStart"/>
      <w:r w:rsidR="0031195D"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кожуунных</w:t>
      </w:r>
      <w:proofErr w:type="spellEnd"/>
      <w:r w:rsidR="0031195D"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учреждениях здравоохранения</w:t>
      </w:r>
      <w:r w:rsidRPr="00025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9600F1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федеральн</w:t>
      </w:r>
      <w:r w:rsidR="00A1359E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программой «Земский доктор»</w:t>
      </w:r>
      <w:r w:rsidR="009600F1" w:rsidRPr="00025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0F1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с 2019 года действует региональная программа предоставления единовременных компенсационных выплат в размере 1 млн. рублей врачам тех специальностей, по которым наблюдается наиболее острый дефицит. Перечень утверждается ежегодно, особое место уделяется таким специалистам как фтизиатры, акушеры-гинекологи, анестезиологи-реаниматологи, инфекционисты, травматологи-ортопеды и другие «узкие» специалисты.</w:t>
      </w:r>
    </w:p>
    <w:p w:rsidR="009600F1" w:rsidRPr="00025409" w:rsidRDefault="009600F1" w:rsidP="00937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409">
        <w:rPr>
          <w:rFonts w:ascii="Times New Roman" w:eastAsia="Calibri" w:hAnsi="Times New Roman" w:cs="Times New Roman"/>
          <w:sz w:val="28"/>
          <w:szCs w:val="28"/>
        </w:rPr>
        <w:t>Указанные меры будут способствовать укреплению кадрового потенциала государственной и муниципальной системы здравоохранения, а также будет являться дополнительным стимулом для закрепления как молодых специалистов, так и опытных со стажем работы в сельской местности и в г. Кызыле.</w:t>
      </w:r>
    </w:p>
    <w:p w:rsidR="009600F1" w:rsidRPr="00025409" w:rsidRDefault="00B57E9E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укрепления здоровья населения в прогнозный период продолжится принятие мер по строительству объектов здравоохранения, в том числе </w:t>
      </w:r>
      <w:r w:rsidR="00983E7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983E7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качественной первичной и высокотехнологичной медицинской помощи, что скажется</w:t>
      </w:r>
      <w:r w:rsidR="00840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7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снижении заболеваемости и смертности населения от туберкулеза, онкологических и сердечно-сосудистых заболеваний. </w:t>
      </w:r>
    </w:p>
    <w:p w:rsidR="00B57E9E" w:rsidRPr="00025409" w:rsidRDefault="009600F1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будут приниматься меры по достижению поставленных целей в соответствии со Стратегией развития здравоохранения Республики Тыва до 2030 года, а также активн</w:t>
      </w:r>
      <w:r w:rsidR="00BC571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BC571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внедрение инновационного направления цифровых технологий, </w:t>
      </w:r>
      <w:r w:rsidR="00BC571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внедрение искусственного интеллекта в лечебно-диагностический процесс и применение персональных медицинских порта</w:t>
      </w:r>
      <w:r w:rsidR="00BC571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устройств для наблюдения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 в дистанционном режиме</w:t>
      </w:r>
      <w:r w:rsidR="00D6583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A06" w:rsidRPr="00025409" w:rsidRDefault="00C36CC5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жизни населения. </w:t>
      </w:r>
      <w:r w:rsidR="00B36959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жизни населения республики</w:t>
      </w:r>
      <w:r w:rsidR="00D76976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</w:t>
      </w:r>
      <w:r w:rsidR="00DF23A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="00D76976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23A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уровня доходов населения и снижению доли населения с доходами ниже величины прожиточного минимума в Республике Тыва к 2030 году</w:t>
      </w:r>
      <w:r w:rsidR="00D76976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которой предусмотрена </w:t>
      </w:r>
      <w:r w:rsidR="009A1E0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комплексного</w:t>
      </w:r>
      <w:r w:rsidR="00D76976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</w:t>
      </w:r>
      <w:r w:rsidR="00DF23A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A1E0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68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203</w:t>
      </w:r>
      <w:r w:rsidR="00C4292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68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рост денежных доходов на одного </w:t>
      </w:r>
      <w:r w:rsidR="00C4292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 окажет</w:t>
      </w:r>
      <w:r w:rsidR="009E68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повышение заработных плат в отраслях экономики и социальной </w:t>
      </w:r>
      <w:r w:rsidR="00197158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сферы,</w:t>
      </w:r>
      <w:r w:rsidR="00FE1FC6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работников бюджетных учреждений в рамках</w:t>
      </w:r>
      <w:r w:rsidR="00FE1FC6" w:rsidRPr="00025409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7 мая 2012 г. № 597,</w:t>
      </w:r>
      <w:r w:rsidR="00197158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индексация</w:t>
      </w:r>
      <w:r w:rsidR="00C4292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выплат</w:t>
      </w:r>
      <w:r w:rsidR="00FE1FC6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FC6" w:rsidRPr="00025409">
        <w:rPr>
          <w:rFonts w:ascii="Times New Roman" w:hAnsi="Times New Roman" w:cs="Times New Roman"/>
          <w:sz w:val="28"/>
          <w:szCs w:val="28"/>
        </w:rPr>
        <w:t>повышение размера минимального размера оплаты труда</w:t>
      </w:r>
      <w:r w:rsidR="008862F1" w:rsidRPr="00025409">
        <w:rPr>
          <w:rFonts w:ascii="Times New Roman" w:hAnsi="Times New Roman" w:cs="Times New Roman"/>
          <w:sz w:val="28"/>
          <w:szCs w:val="28"/>
        </w:rPr>
        <w:t>, легализация неформальной занятости</w:t>
      </w:r>
      <w:r w:rsidR="00FE1FC6" w:rsidRPr="00025409">
        <w:rPr>
          <w:rFonts w:ascii="Times New Roman" w:hAnsi="Times New Roman" w:cs="Times New Roman"/>
          <w:sz w:val="28"/>
          <w:szCs w:val="28"/>
        </w:rPr>
        <w:t>.</w:t>
      </w:r>
      <w:r w:rsidR="008862F1" w:rsidRPr="00025409">
        <w:rPr>
          <w:rFonts w:ascii="Times New Roman" w:hAnsi="Times New Roman" w:cs="Times New Roman"/>
          <w:sz w:val="28"/>
          <w:szCs w:val="28"/>
        </w:rPr>
        <w:t xml:space="preserve"> Кроме того, будет продолжена работа по предоставлению в полном объеме мер социальной поддержки семьям с детьми и отдельным категориям населения. </w:t>
      </w:r>
    </w:p>
    <w:p w:rsidR="004B0E64" w:rsidRPr="00025409" w:rsidRDefault="00224641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национальных и региональных </w:t>
      </w:r>
      <w:r w:rsidR="00197158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 новых</w:t>
      </w:r>
      <w:r w:rsidR="001A3D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 в отрас</w:t>
      </w:r>
      <w:r w:rsidR="008862F1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экономики и социальной сфере</w:t>
      </w:r>
      <w:r w:rsidR="001A3D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1E58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1E58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отраслей экономики</w:t>
      </w:r>
      <w:r w:rsidR="001A3D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буд</w:t>
      </w:r>
      <w:r w:rsidR="00F3776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3D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способствовать </w:t>
      </w:r>
      <w:r w:rsidR="00197158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</w:t>
      </w:r>
      <w:r w:rsidR="007524DB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CC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="001A3D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C2CC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</w:t>
      </w:r>
      <w:r w:rsidR="00021E58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1A3D8D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C2CC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4B0E6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соответственно росту доходов населения. </w:t>
      </w:r>
      <w:r w:rsidR="006C2CC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007" w:rsidRPr="00025409" w:rsidRDefault="00F37764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2035 году денежные доходы на одного жителя республики </w:t>
      </w:r>
      <w:r w:rsidR="00F7564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2021 года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возрастут </w:t>
      </w:r>
      <w:r w:rsidR="004B0196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63A5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BC3EDE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63A5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84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63A5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достигнут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3EDE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="00B363A5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</w:t>
      </w:r>
      <w:r w:rsidR="00652918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базовому </w:t>
      </w:r>
      <w:r w:rsidR="00B363A5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сценарию. </w:t>
      </w:r>
      <w:r w:rsidR="00F75647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бедности снизится до 10 процентов. </w:t>
      </w:r>
      <w:r w:rsidR="00B363A5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составит </w:t>
      </w:r>
      <w:r w:rsidR="008D1C4E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83,5 тыс. рублей, рост в 1,8 раза к уровню 2021 года.</w:t>
      </w:r>
    </w:p>
    <w:p w:rsidR="009E6814" w:rsidRPr="00025409" w:rsidRDefault="009E6814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труда. </w:t>
      </w:r>
      <w:r w:rsidRPr="00025409">
        <w:rPr>
          <w:rFonts w:ascii="Times New Roman" w:hAnsi="Times New Roman" w:cs="Times New Roman"/>
          <w:sz w:val="28"/>
          <w:szCs w:val="28"/>
        </w:rPr>
        <w:t xml:space="preserve">В </w:t>
      </w:r>
      <w:r w:rsidR="004B0196" w:rsidRPr="00025409">
        <w:rPr>
          <w:rFonts w:ascii="Times New Roman" w:hAnsi="Times New Roman" w:cs="Times New Roman"/>
          <w:sz w:val="28"/>
          <w:szCs w:val="28"/>
        </w:rPr>
        <w:t>прогнозируемом</w:t>
      </w:r>
      <w:r w:rsidRPr="00025409">
        <w:rPr>
          <w:rFonts w:ascii="Times New Roman" w:hAnsi="Times New Roman" w:cs="Times New Roman"/>
          <w:sz w:val="28"/>
          <w:szCs w:val="28"/>
        </w:rPr>
        <w:t xml:space="preserve"> периоде </w:t>
      </w:r>
      <w:r w:rsidR="00AB1A13" w:rsidRPr="00025409">
        <w:rPr>
          <w:rFonts w:ascii="Times New Roman" w:hAnsi="Times New Roman" w:cs="Times New Roman"/>
          <w:sz w:val="28"/>
          <w:szCs w:val="28"/>
        </w:rPr>
        <w:t xml:space="preserve">для </w:t>
      </w:r>
      <w:r w:rsidR="00652918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уровня безработицы</w:t>
      </w:r>
      <w:r w:rsidR="00652918" w:rsidRPr="00025409">
        <w:rPr>
          <w:rFonts w:ascii="Times New Roman" w:hAnsi="Times New Roman" w:cs="Times New Roman"/>
          <w:sz w:val="28"/>
          <w:szCs w:val="28"/>
        </w:rPr>
        <w:t xml:space="preserve"> </w:t>
      </w:r>
      <w:r w:rsidR="00AB1A13" w:rsidRPr="00025409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687B38" w:rsidRPr="00025409">
        <w:rPr>
          <w:rFonts w:ascii="Times New Roman" w:hAnsi="Times New Roman" w:cs="Times New Roman"/>
          <w:sz w:val="28"/>
          <w:szCs w:val="28"/>
        </w:rPr>
        <w:t>являются</w:t>
      </w:r>
      <w:r w:rsidR="00652918" w:rsidRPr="00025409">
        <w:rPr>
          <w:rFonts w:ascii="Times New Roman" w:hAnsi="Times New Roman" w:cs="Times New Roman"/>
          <w:sz w:val="28"/>
          <w:szCs w:val="28"/>
        </w:rPr>
        <w:t xml:space="preserve"> обеспечение занятости населения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условий для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рынка труда, учитывающего потребности экономики региона, поддержка работодателей, создающих новые рабочие места.  </w:t>
      </w:r>
    </w:p>
    <w:p w:rsidR="0036228E" w:rsidRPr="00025409" w:rsidRDefault="00C86D3D" w:rsidP="00937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68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новых рабочих мест </w:t>
      </w:r>
      <w:r w:rsidR="00863B5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68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863B5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68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863B5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68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="00863B53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9E68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включающих освоение минерально-сырьевой </w:t>
      </w:r>
      <w:r w:rsidR="007827B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базы, производство и переработка</w:t>
      </w:r>
      <w:r w:rsidR="009E681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продукции, развитие торговли, строительства, дорожно-транспортного комплекса, информационных технолог</w:t>
      </w:r>
      <w:r w:rsidR="007D2AAB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повышение конкурентоспособности граждан на рынке труда за счёт организации профессионального обучения или получени</w:t>
      </w:r>
      <w:r w:rsidR="008407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2AAB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безработн</w:t>
      </w:r>
      <w:r w:rsidR="0084071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7D2AAB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84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D2AAB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повышение квалификации работающих и безработных граждан </w:t>
      </w:r>
      <w:r w:rsidR="0098156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527ADC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81560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приоритетными направлениями</w:t>
      </w:r>
      <w:r w:rsidR="00527ADC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занятости</w:t>
      </w:r>
      <w:r w:rsidR="007D2AAB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6854" w:rsidRPr="00025409" w:rsidRDefault="0036228E" w:rsidP="00937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способствуют повышению уровня занятости населения содействие предпринимательской деятельности и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граждан, в том числе за счет реализации мер государственной социальной помощи на основании социального контракта</w:t>
      </w:r>
      <w:r w:rsidR="007E6854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Продолжится поддержка и содействие трудоустройству граждан, ищущих работу</w:t>
      </w:r>
      <w:r w:rsidR="001130B1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легализация теневой занятости и обеспечение подготовки востребованных и высококвалифицированных специалистов.</w:t>
      </w:r>
    </w:p>
    <w:p w:rsidR="00305AF0" w:rsidRDefault="009E6814" w:rsidP="0093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поставленными задачами </w:t>
      </w:r>
      <w:r w:rsidRPr="00025409">
        <w:rPr>
          <w:rFonts w:ascii="Times New Roman" w:hAnsi="Times New Roman" w:cs="Times New Roman"/>
          <w:sz w:val="28"/>
          <w:szCs w:val="28"/>
        </w:rPr>
        <w:t xml:space="preserve">к 2035 году </w:t>
      </w:r>
      <w:r w:rsidR="00652918" w:rsidRPr="00025409">
        <w:rPr>
          <w:rFonts w:ascii="Times New Roman" w:hAnsi="Times New Roman" w:cs="Times New Roman"/>
          <w:sz w:val="28"/>
          <w:szCs w:val="28"/>
        </w:rPr>
        <w:t>планируется снижение</w:t>
      </w:r>
      <w:r w:rsidRPr="00025409">
        <w:rPr>
          <w:rFonts w:ascii="Times New Roman" w:hAnsi="Times New Roman" w:cs="Times New Roman"/>
          <w:sz w:val="28"/>
          <w:szCs w:val="28"/>
        </w:rPr>
        <w:t xml:space="preserve"> уровня общей безработицы с 15 </w:t>
      </w:r>
      <w:r w:rsidR="00D27F3E" w:rsidRPr="00025409">
        <w:rPr>
          <w:rFonts w:ascii="Times New Roman" w:hAnsi="Times New Roman" w:cs="Times New Roman"/>
          <w:sz w:val="28"/>
          <w:szCs w:val="28"/>
        </w:rPr>
        <w:t>процентов</w:t>
      </w:r>
      <w:r w:rsidRPr="00025409">
        <w:rPr>
          <w:rFonts w:ascii="Times New Roman" w:hAnsi="Times New Roman" w:cs="Times New Roman"/>
          <w:sz w:val="28"/>
          <w:szCs w:val="28"/>
        </w:rPr>
        <w:t xml:space="preserve"> до </w:t>
      </w:r>
      <w:r w:rsidR="00D27F3E" w:rsidRPr="00025409">
        <w:rPr>
          <w:rFonts w:ascii="Times New Roman" w:hAnsi="Times New Roman" w:cs="Times New Roman"/>
          <w:sz w:val="28"/>
          <w:szCs w:val="28"/>
        </w:rPr>
        <w:t>5,8 процента</w:t>
      </w:r>
      <w:r w:rsidRPr="00025409">
        <w:rPr>
          <w:rFonts w:ascii="Times New Roman" w:hAnsi="Times New Roman" w:cs="Times New Roman"/>
          <w:sz w:val="28"/>
          <w:szCs w:val="28"/>
        </w:rPr>
        <w:t>, то есть снижение на 9</w:t>
      </w:r>
      <w:r w:rsidR="00D27F3E" w:rsidRPr="00025409">
        <w:rPr>
          <w:rFonts w:ascii="Times New Roman" w:hAnsi="Times New Roman" w:cs="Times New Roman"/>
          <w:sz w:val="28"/>
          <w:szCs w:val="28"/>
        </w:rPr>
        <w:t>,2</w:t>
      </w:r>
      <w:r w:rsidRPr="00025409">
        <w:rPr>
          <w:rFonts w:ascii="Times New Roman" w:hAnsi="Times New Roman" w:cs="Times New Roman"/>
          <w:sz w:val="28"/>
          <w:szCs w:val="28"/>
        </w:rPr>
        <w:t xml:space="preserve"> п</w:t>
      </w:r>
      <w:r w:rsidR="00652918" w:rsidRPr="00025409">
        <w:rPr>
          <w:rFonts w:ascii="Times New Roman" w:hAnsi="Times New Roman" w:cs="Times New Roman"/>
          <w:sz w:val="28"/>
          <w:szCs w:val="28"/>
        </w:rPr>
        <w:t xml:space="preserve">роцентных </w:t>
      </w:r>
      <w:r w:rsidRPr="00025409">
        <w:rPr>
          <w:rFonts w:ascii="Times New Roman" w:hAnsi="Times New Roman" w:cs="Times New Roman"/>
          <w:sz w:val="28"/>
          <w:szCs w:val="28"/>
        </w:rPr>
        <w:t>п</w:t>
      </w:r>
      <w:r w:rsidR="00652918" w:rsidRPr="00025409">
        <w:rPr>
          <w:rFonts w:ascii="Times New Roman" w:hAnsi="Times New Roman" w:cs="Times New Roman"/>
          <w:sz w:val="28"/>
          <w:szCs w:val="28"/>
        </w:rPr>
        <w:t>ункта</w:t>
      </w:r>
      <w:r w:rsidRPr="00025409">
        <w:rPr>
          <w:rFonts w:ascii="Times New Roman" w:hAnsi="Times New Roman" w:cs="Times New Roman"/>
          <w:sz w:val="28"/>
          <w:szCs w:val="28"/>
        </w:rPr>
        <w:t xml:space="preserve">, общая численность безработных граждан снизится до </w:t>
      </w:r>
      <w:r w:rsidR="00D27F3E" w:rsidRPr="00025409">
        <w:rPr>
          <w:rFonts w:ascii="Times New Roman" w:hAnsi="Times New Roman" w:cs="Times New Roman"/>
          <w:sz w:val="28"/>
          <w:szCs w:val="28"/>
        </w:rPr>
        <w:t>7,6</w:t>
      </w:r>
      <w:r w:rsidR="00E622D4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E622D4" w:rsidRPr="00025409" w:rsidRDefault="00E622D4" w:rsidP="00E6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3E" w:rsidRDefault="00D27F3E" w:rsidP="00E62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Theme="majorEastAsia" w:hAnsi="Times New Roman" w:cs="Times New Roman"/>
          <w:sz w:val="28"/>
          <w:szCs w:val="28"/>
        </w:rPr>
        <w:t xml:space="preserve">7. Финансы.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Консолидированный бюджет Республики Тыва</w:t>
      </w:r>
    </w:p>
    <w:p w:rsidR="00E622D4" w:rsidRPr="00025409" w:rsidRDefault="00E622D4" w:rsidP="00E62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3E" w:rsidRPr="00025409" w:rsidRDefault="00D27F3E" w:rsidP="0093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прогноза консолидированного бюджета до 2035 года учтены следующие факторы: реализация на территории Республики Тыва национальных проектов, государственных программ и индивидуальной программы социально-экономического развития, также запуск с 2021 года новых механизмов региональной поддержки - новые инвестиционные проекты (в 2022 году – 181,3 млн. рублей) и инфраструктурный бюджетный кредит (с 2022</w:t>
      </w:r>
      <w:r w:rsidR="007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7127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инфраструктурных проекта на общую сумму 1331,8 млн. рублей).</w:t>
      </w:r>
    </w:p>
    <w:p w:rsidR="00D27F3E" w:rsidRPr="00025409" w:rsidRDefault="00D27F3E" w:rsidP="00937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общий объем доходов бюджет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республики увеличился на 11 процентов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53 498,2 млн. рублей, расходы также увеличились на 11 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составив 53 853,1 млн. рублей. Общий дефицит бюджета республики составил 354,9 млн. рублей.</w:t>
      </w:r>
    </w:p>
    <w:p w:rsidR="00D27F3E" w:rsidRPr="00025409" w:rsidRDefault="00D27F3E" w:rsidP="00937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spellStart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высокодотационностью</w:t>
      </w:r>
      <w:proofErr w:type="spellEnd"/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республики ежегодно, в первую очередь, обеспечиваются социально значимые расходы, в том числе заработная плата с начислениями, социальные выплаты, оплата коммунальных услуг, взносы на обязательное медицинское страхование неработающего населения. </w:t>
      </w:r>
    </w:p>
    <w:p w:rsidR="00D27F3E" w:rsidRPr="00025409" w:rsidRDefault="00D27F3E" w:rsidP="00937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2035 году ожидается поступление доходов консолидированного бюджета Республики Тыва в объёме 45 511,8 млн. рублей (по консервативному варианту) и 46 422 млн. рублей по базовому варианту. </w:t>
      </w:r>
    </w:p>
    <w:p w:rsidR="00D27F3E" w:rsidRPr="00025409" w:rsidRDefault="00D27F3E" w:rsidP="00937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получаемые из других бюджетов бюдж</w:t>
      </w:r>
      <w:r w:rsidR="007127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системы, на период 2026-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2036 год</w:t>
      </w:r>
      <w:r w:rsidR="00712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на уровне 2025 года в объеме, утвержденном в бюджете на 2023 год и плановый период 2024 и 2025 годов.</w:t>
      </w:r>
    </w:p>
    <w:p w:rsidR="00D27F3E" w:rsidRPr="00025409" w:rsidRDefault="00D27F3E" w:rsidP="00937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доходов обусловлен наращиванием налоговой базы по налогу на прибыль, 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налогу на имущество организаций и налогу на доходы физических лиц от реализации новых инвестиционных проектов на территории Республики Тыва, запускаемых в рамках новых механизмов государственной поддержки (новые инвестиционные проекты, индивидуальная программа социально-экономического развития, инфраструктурных бюджетных кредитов) и запускаемых в рамках частных инвестиций, также на рост доходов влияют прирост прогнозных макроэкономических показателей до 2035 года, в частности добыча полезных ископаемых, объём валовой продукции в отраслях, валовый региональный продукт, инвестиции, фонда оплаты труда.</w:t>
      </w:r>
    </w:p>
    <w:p w:rsidR="00D27F3E" w:rsidRPr="00025409" w:rsidRDefault="00D27F3E" w:rsidP="00937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расходов консолидированного бюджета Республики Тыва в 2021 году традиционно преобладают расходы на социальную сферу в сумме 36 525,4 млн. рублей или 67,8 процента от общего объема расходов. Из них расходы на образование составляют 28 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E622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социальную политику –</w:t>
      </w:r>
      <w:r w:rsidR="007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здравоохране</w:t>
      </w:r>
      <w:r w:rsidR="00E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–</w:t>
      </w:r>
      <w:r w:rsidR="007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культуру </w:t>
      </w:r>
      <w:r w:rsidR="00E622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EB5E7A"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F3E" w:rsidRPr="00025409" w:rsidRDefault="00D27F3E" w:rsidP="00937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2035 году прогнозные показатели расходов консолидированного бюджета составят 46 422 млн. рублей (по базовому варианту) и 45 511,8 млн. рублей по консервативному варианту.</w:t>
      </w:r>
    </w:p>
    <w:p w:rsidR="00D27F3E" w:rsidRDefault="00E622D4" w:rsidP="00E6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622D4" w:rsidRDefault="00E622D4" w:rsidP="00E6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622D4" w:rsidSect="005277DE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095822" w:rsidRPr="00095822" w:rsidRDefault="00095822" w:rsidP="00095822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958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095822" w:rsidRPr="00095822" w:rsidRDefault="00095822" w:rsidP="00095822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95822">
        <w:rPr>
          <w:rFonts w:ascii="Times New Roman" w:hAnsi="Times New Roman" w:cs="Times New Roman"/>
          <w:sz w:val="28"/>
          <w:szCs w:val="28"/>
        </w:rPr>
        <w:t>долгосрочно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95822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95822" w:rsidRPr="00095822" w:rsidRDefault="00095822" w:rsidP="00095822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9582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095822" w:rsidRPr="00095822" w:rsidRDefault="00095822" w:rsidP="00095822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95822">
        <w:rPr>
          <w:rFonts w:ascii="Times New Roman" w:hAnsi="Times New Roman" w:cs="Times New Roman"/>
          <w:sz w:val="28"/>
          <w:szCs w:val="28"/>
        </w:rPr>
        <w:t xml:space="preserve">Республики Тыва на период до 2035 года </w:t>
      </w:r>
    </w:p>
    <w:p w:rsidR="00E622D4" w:rsidRDefault="00E622D4" w:rsidP="0009582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634932" w:rsidRPr="00095822" w:rsidRDefault="00634932" w:rsidP="0009582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634932" w:rsidRPr="00634932" w:rsidRDefault="00634932" w:rsidP="00E62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32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</w:t>
      </w:r>
    </w:p>
    <w:p w:rsidR="00634932" w:rsidRDefault="00095822" w:rsidP="00E6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822">
        <w:rPr>
          <w:rFonts w:ascii="Times New Roman" w:hAnsi="Times New Roman" w:cs="Times New Roman"/>
          <w:sz w:val="28"/>
          <w:szCs w:val="28"/>
        </w:rPr>
        <w:t xml:space="preserve">долгосрочного прогноза социально-экономического </w:t>
      </w:r>
    </w:p>
    <w:p w:rsidR="00095822" w:rsidRDefault="00095822" w:rsidP="00E6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822">
        <w:rPr>
          <w:rFonts w:ascii="Times New Roman" w:hAnsi="Times New Roman" w:cs="Times New Roman"/>
          <w:sz w:val="28"/>
          <w:szCs w:val="28"/>
        </w:rPr>
        <w:t>раз</w:t>
      </w:r>
      <w:r w:rsidR="00634932">
        <w:rPr>
          <w:rFonts w:ascii="Times New Roman" w:hAnsi="Times New Roman" w:cs="Times New Roman"/>
          <w:sz w:val="28"/>
          <w:szCs w:val="28"/>
        </w:rPr>
        <w:t xml:space="preserve">вития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до 2035 </w:t>
      </w:r>
      <w:r w:rsidRPr="00095822">
        <w:rPr>
          <w:rFonts w:ascii="Times New Roman" w:hAnsi="Times New Roman" w:cs="Times New Roman"/>
          <w:sz w:val="28"/>
          <w:szCs w:val="28"/>
        </w:rPr>
        <w:t>года</w:t>
      </w:r>
    </w:p>
    <w:p w:rsidR="00095822" w:rsidRDefault="00095822" w:rsidP="00E6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63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425"/>
        <w:gridCol w:w="426"/>
        <w:gridCol w:w="425"/>
        <w:gridCol w:w="468"/>
        <w:gridCol w:w="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2"/>
        <w:gridCol w:w="557"/>
        <w:gridCol w:w="567"/>
        <w:gridCol w:w="577"/>
        <w:gridCol w:w="567"/>
        <w:gridCol w:w="567"/>
        <w:gridCol w:w="567"/>
        <w:gridCol w:w="567"/>
        <w:gridCol w:w="567"/>
        <w:gridCol w:w="567"/>
        <w:gridCol w:w="557"/>
        <w:gridCol w:w="488"/>
        <w:gridCol w:w="518"/>
      </w:tblGrid>
      <w:tr w:rsidR="006B63D5" w:rsidRPr="00B9043F" w:rsidTr="0071279D">
        <w:trPr>
          <w:trHeight w:val="77"/>
          <w:jc w:val="center"/>
        </w:trPr>
        <w:tc>
          <w:tcPr>
            <w:tcW w:w="700" w:type="dxa"/>
            <w:vMerge w:val="restart"/>
            <w:noWrap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5" w:type="dxa"/>
            <w:vMerge w:val="restart"/>
            <w:noWrap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26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425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14330" w:type="dxa"/>
            <w:gridSpan w:val="26"/>
            <w:hideMark/>
          </w:tcPr>
          <w:p w:rsidR="00095822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</w:t>
            </w:r>
            <w:r w:rsidR="00095822"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рогноз</w:t>
            </w:r>
          </w:p>
        </w:tc>
      </w:tr>
      <w:tr w:rsidR="006B63D5" w:rsidRPr="00B9043F" w:rsidTr="0071279D">
        <w:trPr>
          <w:trHeight w:val="56"/>
          <w:jc w:val="center"/>
        </w:trPr>
        <w:tc>
          <w:tcPr>
            <w:tcW w:w="700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 w:val="restart"/>
            <w:noWrap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25" w:type="dxa"/>
            <w:vMerge w:val="restart"/>
            <w:noWrap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85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13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109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12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2031</w:t>
            </w:r>
          </w:p>
        </w:tc>
        <w:tc>
          <w:tcPr>
            <w:tcW w:w="113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2032</w:t>
            </w:r>
          </w:p>
        </w:tc>
        <w:tc>
          <w:tcPr>
            <w:tcW w:w="113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2033</w:t>
            </w:r>
          </w:p>
        </w:tc>
        <w:tc>
          <w:tcPr>
            <w:tcW w:w="1124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2034</w:t>
            </w:r>
          </w:p>
        </w:tc>
        <w:tc>
          <w:tcPr>
            <w:tcW w:w="1006" w:type="dxa"/>
            <w:gridSpan w:val="2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2035</w:t>
            </w:r>
          </w:p>
        </w:tc>
      </w:tr>
      <w:tr w:rsidR="006B63D5" w:rsidRPr="00B9043F" w:rsidTr="0071279D">
        <w:trPr>
          <w:trHeight w:val="420"/>
          <w:jc w:val="center"/>
        </w:trPr>
        <w:tc>
          <w:tcPr>
            <w:tcW w:w="700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8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41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42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5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7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5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488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консервативный</w:t>
            </w:r>
          </w:p>
        </w:tc>
        <w:tc>
          <w:tcPr>
            <w:tcW w:w="518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базовый</w:t>
            </w:r>
          </w:p>
        </w:tc>
      </w:tr>
      <w:tr w:rsidR="006B63D5" w:rsidRPr="00B9043F" w:rsidTr="0071279D">
        <w:trPr>
          <w:trHeight w:val="240"/>
          <w:jc w:val="center"/>
        </w:trPr>
        <w:tc>
          <w:tcPr>
            <w:tcW w:w="700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8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41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42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5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7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67" w:type="dxa"/>
            <w:hideMark/>
          </w:tcPr>
          <w:p w:rsidR="00095822" w:rsidRPr="00B9043F" w:rsidRDefault="0071279D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095822"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вариант</w:t>
            </w:r>
          </w:p>
        </w:tc>
        <w:tc>
          <w:tcPr>
            <w:tcW w:w="56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57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  <w:tc>
          <w:tcPr>
            <w:tcW w:w="488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вариант</w:t>
            </w:r>
          </w:p>
        </w:tc>
        <w:tc>
          <w:tcPr>
            <w:tcW w:w="518" w:type="dxa"/>
            <w:hideMark/>
          </w:tcPr>
          <w:p w:rsidR="00095822" w:rsidRPr="00B9043F" w:rsidRDefault="00095822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вариант</w:t>
            </w:r>
          </w:p>
        </w:tc>
      </w:tr>
      <w:tr w:rsidR="006B63D5" w:rsidRPr="00B9043F" w:rsidTr="0071279D">
        <w:trPr>
          <w:trHeight w:val="64"/>
          <w:jc w:val="center"/>
        </w:trPr>
        <w:tc>
          <w:tcPr>
            <w:tcW w:w="700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6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42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5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57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88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18" w:type="dxa"/>
            <w:hideMark/>
          </w:tcPr>
          <w:p w:rsidR="00381235" w:rsidRPr="00B9043F" w:rsidRDefault="00381235" w:rsidP="003812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095822" w:rsidRPr="00B9043F" w:rsidTr="0071279D">
        <w:trPr>
          <w:trHeight w:val="56"/>
          <w:jc w:val="center"/>
        </w:trPr>
        <w:tc>
          <w:tcPr>
            <w:tcW w:w="16306" w:type="dxa"/>
            <w:gridSpan w:val="30"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 Демографические показатели</w:t>
            </w:r>
          </w:p>
        </w:tc>
      </w:tr>
      <w:tr w:rsidR="006B63D5" w:rsidRPr="00B9043F" w:rsidTr="0071279D">
        <w:trPr>
          <w:trHeight w:val="300"/>
          <w:jc w:val="center"/>
        </w:trPr>
        <w:tc>
          <w:tcPr>
            <w:tcW w:w="700" w:type="dxa"/>
            <w:hideMark/>
          </w:tcPr>
          <w:p w:rsidR="00095822" w:rsidRPr="00B9043F" w:rsidRDefault="00095822" w:rsidP="0063493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Численность населения, в том числе:</w:t>
            </w:r>
          </w:p>
        </w:tc>
        <w:tc>
          <w:tcPr>
            <w:tcW w:w="425" w:type="dxa"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426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332,6</w:t>
            </w:r>
          </w:p>
        </w:tc>
        <w:tc>
          <w:tcPr>
            <w:tcW w:w="425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336,0</w:t>
            </w:r>
          </w:p>
        </w:tc>
        <w:tc>
          <w:tcPr>
            <w:tcW w:w="46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338,1</w:t>
            </w:r>
          </w:p>
        </w:tc>
        <w:tc>
          <w:tcPr>
            <w:tcW w:w="41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340,5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342,0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344,5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344,9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346,3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346,7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348,1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348,4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349,8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350,1</w:t>
            </w:r>
          </w:p>
        </w:tc>
        <w:tc>
          <w:tcPr>
            <w:tcW w:w="542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351,5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353,2</w:t>
            </w:r>
          </w:p>
        </w:tc>
        <w:tc>
          <w:tcPr>
            <w:tcW w:w="57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355,4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357,1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358,5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358,8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360,2</w:t>
            </w:r>
          </w:p>
        </w:tc>
        <w:tc>
          <w:tcPr>
            <w:tcW w:w="48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51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361,8</w:t>
            </w:r>
          </w:p>
        </w:tc>
      </w:tr>
      <w:tr w:rsidR="006B63D5" w:rsidRPr="00B9043F" w:rsidTr="0071279D">
        <w:trPr>
          <w:trHeight w:val="300"/>
          <w:jc w:val="center"/>
        </w:trPr>
        <w:tc>
          <w:tcPr>
            <w:tcW w:w="700" w:type="dxa"/>
            <w:hideMark/>
          </w:tcPr>
          <w:p w:rsidR="00095822" w:rsidRPr="00B9043F" w:rsidRDefault="00095822" w:rsidP="0063493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младше трудоспособного возраста</w:t>
            </w:r>
          </w:p>
        </w:tc>
        <w:tc>
          <w:tcPr>
            <w:tcW w:w="425" w:type="dxa"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426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112,9</w:t>
            </w:r>
          </w:p>
        </w:tc>
        <w:tc>
          <w:tcPr>
            <w:tcW w:w="425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116,5</w:t>
            </w:r>
          </w:p>
        </w:tc>
        <w:tc>
          <w:tcPr>
            <w:tcW w:w="46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119,0</w:t>
            </w:r>
          </w:p>
        </w:tc>
        <w:tc>
          <w:tcPr>
            <w:tcW w:w="41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119,4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121,7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122,1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124,3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542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57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109,6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8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108,6</w:t>
            </w:r>
          </w:p>
        </w:tc>
        <w:tc>
          <w:tcPr>
            <w:tcW w:w="51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</w:tr>
      <w:tr w:rsidR="006B63D5" w:rsidRPr="00B9043F" w:rsidTr="0071279D">
        <w:trPr>
          <w:trHeight w:val="300"/>
          <w:jc w:val="center"/>
        </w:trPr>
        <w:tc>
          <w:tcPr>
            <w:tcW w:w="700" w:type="dxa"/>
            <w:hideMark/>
          </w:tcPr>
          <w:p w:rsidR="00095822" w:rsidRPr="00B9043F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трудоспособного</w:t>
            </w:r>
          </w:p>
        </w:tc>
        <w:tc>
          <w:tcPr>
            <w:tcW w:w="425" w:type="dxa"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426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184,6</w:t>
            </w:r>
          </w:p>
        </w:tc>
        <w:tc>
          <w:tcPr>
            <w:tcW w:w="425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186,2</w:t>
            </w:r>
          </w:p>
        </w:tc>
        <w:tc>
          <w:tcPr>
            <w:tcW w:w="46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187,8</w:t>
            </w:r>
          </w:p>
        </w:tc>
        <w:tc>
          <w:tcPr>
            <w:tcW w:w="41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188,1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189,7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191,8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192,2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194,6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203,8</w:t>
            </w:r>
          </w:p>
        </w:tc>
        <w:tc>
          <w:tcPr>
            <w:tcW w:w="542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204,2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207,2</w:t>
            </w:r>
          </w:p>
        </w:tc>
        <w:tc>
          <w:tcPr>
            <w:tcW w:w="57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215,8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216,2</w:t>
            </w:r>
          </w:p>
        </w:tc>
        <w:tc>
          <w:tcPr>
            <w:tcW w:w="48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217,8</w:t>
            </w:r>
          </w:p>
        </w:tc>
        <w:tc>
          <w:tcPr>
            <w:tcW w:w="51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218,2</w:t>
            </w:r>
          </w:p>
        </w:tc>
      </w:tr>
      <w:tr w:rsidR="006B63D5" w:rsidRPr="00B9043F" w:rsidTr="0071279D">
        <w:trPr>
          <w:trHeight w:val="300"/>
          <w:jc w:val="center"/>
        </w:trPr>
        <w:tc>
          <w:tcPr>
            <w:tcW w:w="700" w:type="dxa"/>
            <w:hideMark/>
          </w:tcPr>
          <w:p w:rsidR="00095822" w:rsidRPr="00B9043F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старше трудоспособного</w:t>
            </w:r>
          </w:p>
        </w:tc>
        <w:tc>
          <w:tcPr>
            <w:tcW w:w="425" w:type="dxa"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426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35,1</w:t>
            </w:r>
          </w:p>
        </w:tc>
        <w:tc>
          <w:tcPr>
            <w:tcW w:w="425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46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31,3</w:t>
            </w:r>
          </w:p>
        </w:tc>
        <w:tc>
          <w:tcPr>
            <w:tcW w:w="41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29,1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29,7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29,7</w:t>
            </w:r>
          </w:p>
        </w:tc>
        <w:tc>
          <w:tcPr>
            <w:tcW w:w="542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30,4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7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32,7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8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1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34,6</w:t>
            </w:r>
          </w:p>
        </w:tc>
      </w:tr>
      <w:tr w:rsidR="00095822" w:rsidRPr="00B9043F" w:rsidTr="0071279D">
        <w:trPr>
          <w:trHeight w:val="56"/>
          <w:jc w:val="center"/>
        </w:trPr>
        <w:tc>
          <w:tcPr>
            <w:tcW w:w="16306" w:type="dxa"/>
            <w:gridSpan w:val="30"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 Валовой региональный продукт</w:t>
            </w:r>
          </w:p>
        </w:tc>
      </w:tr>
      <w:tr w:rsidR="006B63D5" w:rsidRPr="00B9043F" w:rsidTr="0071279D">
        <w:trPr>
          <w:trHeight w:val="465"/>
          <w:jc w:val="center"/>
        </w:trPr>
        <w:tc>
          <w:tcPr>
            <w:tcW w:w="700" w:type="dxa"/>
            <w:hideMark/>
          </w:tcPr>
          <w:p w:rsidR="00095822" w:rsidRPr="00B9043F" w:rsidRDefault="00095822" w:rsidP="0063493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425" w:type="dxa"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млн. руб.</w:t>
            </w:r>
          </w:p>
        </w:tc>
        <w:tc>
          <w:tcPr>
            <w:tcW w:w="426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86596</w:t>
            </w:r>
          </w:p>
        </w:tc>
        <w:tc>
          <w:tcPr>
            <w:tcW w:w="425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95215</w:t>
            </w:r>
          </w:p>
        </w:tc>
        <w:tc>
          <w:tcPr>
            <w:tcW w:w="46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98715</w:t>
            </w:r>
          </w:p>
        </w:tc>
        <w:tc>
          <w:tcPr>
            <w:tcW w:w="41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105015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107215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111815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117015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122915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121815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128915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127215</w:t>
            </w:r>
          </w:p>
        </w:tc>
        <w:tc>
          <w:tcPr>
            <w:tcW w:w="542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135415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133115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142015</w:t>
            </w:r>
          </w:p>
        </w:tc>
        <w:tc>
          <w:tcPr>
            <w:tcW w:w="57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139615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150315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146715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160515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172015</w:t>
            </w:r>
          </w:p>
        </w:tc>
        <w:tc>
          <w:tcPr>
            <w:tcW w:w="56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163115</w:t>
            </w:r>
          </w:p>
        </w:tc>
        <w:tc>
          <w:tcPr>
            <w:tcW w:w="557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184815</w:t>
            </w:r>
          </w:p>
        </w:tc>
        <w:tc>
          <w:tcPr>
            <w:tcW w:w="48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172715</w:t>
            </w:r>
          </w:p>
        </w:tc>
        <w:tc>
          <w:tcPr>
            <w:tcW w:w="518" w:type="dxa"/>
            <w:noWrap/>
            <w:hideMark/>
          </w:tcPr>
          <w:p w:rsidR="00095822" w:rsidRPr="00B9043F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4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199315</w:t>
            </w:r>
          </w:p>
        </w:tc>
      </w:tr>
    </w:tbl>
    <w:p w:rsidR="00690994" w:rsidRPr="0071279D" w:rsidRDefault="00690994">
      <w:pPr>
        <w:rPr>
          <w:sz w:val="8"/>
        </w:rPr>
      </w:pPr>
      <w:r>
        <w:br w:type="page"/>
      </w:r>
    </w:p>
    <w:p w:rsidR="00690994" w:rsidRDefault="00690994" w:rsidP="00690994">
      <w:pPr>
        <w:spacing w:after="0" w:line="240" w:lineRule="auto"/>
      </w:pPr>
    </w:p>
    <w:tbl>
      <w:tblPr>
        <w:tblStyle w:val="ad"/>
        <w:tblW w:w="162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25"/>
        <w:gridCol w:w="425"/>
        <w:gridCol w:w="454"/>
        <w:gridCol w:w="539"/>
        <w:gridCol w:w="5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  <w:gridCol w:w="567"/>
        <w:gridCol w:w="567"/>
        <w:gridCol w:w="567"/>
        <w:gridCol w:w="567"/>
        <w:gridCol w:w="567"/>
        <w:gridCol w:w="567"/>
        <w:gridCol w:w="567"/>
        <w:gridCol w:w="517"/>
        <w:gridCol w:w="567"/>
        <w:gridCol w:w="567"/>
        <w:gridCol w:w="510"/>
        <w:gridCol w:w="482"/>
      </w:tblGrid>
      <w:tr w:rsidR="00690994" w:rsidRPr="00690994" w:rsidTr="0050723A">
        <w:trPr>
          <w:trHeight w:val="64"/>
          <w:tblHeader/>
          <w:jc w:val="center"/>
        </w:trPr>
        <w:tc>
          <w:tcPr>
            <w:tcW w:w="542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454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39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10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532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51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567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510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482" w:type="dxa"/>
            <w:hideMark/>
          </w:tcPr>
          <w:p w:rsidR="00690994" w:rsidRPr="00690994" w:rsidRDefault="00690994" w:rsidP="001E508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</w:t>
            </w:r>
          </w:p>
        </w:tc>
      </w:tr>
      <w:tr w:rsidR="00690994" w:rsidRPr="00690994" w:rsidTr="0050723A">
        <w:trPr>
          <w:trHeight w:val="465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валового регионального продукта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 в постоянных ценах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95,9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100,3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100,3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100,3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100,4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101,3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103,3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101,8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</w:tr>
      <w:tr w:rsidR="00690994" w:rsidRPr="00690994" w:rsidTr="0050723A">
        <w:trPr>
          <w:trHeight w:val="33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3. Промышленное производство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54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39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10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32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1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10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82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690994" w:rsidRPr="00690994" w:rsidTr="0050723A">
        <w:trPr>
          <w:trHeight w:val="69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27465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36286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34108,8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36543,1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35593,8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37748,7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36305,5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39635,2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36668,5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42409,4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37401,1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46225,3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38105,1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49460,4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39095,1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52427,1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40338,1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57669,7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41438,1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59976,4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42596,4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63574,5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43931,8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68024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45464,1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72145,5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46729,1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73471</w:t>
            </w:r>
          </w:p>
        </w:tc>
      </w:tr>
      <w:tr w:rsidR="00690994" w:rsidRPr="00690994" w:rsidTr="0050723A">
        <w:trPr>
          <w:trHeight w:val="495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106,3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137,1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85,7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</w:t>
            </w:r>
          </w:p>
        </w:tc>
      </w:tr>
      <w:tr w:rsidR="00095822" w:rsidRPr="00690994" w:rsidTr="0050723A">
        <w:trPr>
          <w:trHeight w:val="70"/>
          <w:jc w:val="center"/>
        </w:trPr>
        <w:tc>
          <w:tcPr>
            <w:tcW w:w="16276" w:type="dxa"/>
            <w:gridSpan w:val="30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4. Сельское хозяйство</w:t>
            </w:r>
          </w:p>
        </w:tc>
      </w:tr>
      <w:tr w:rsidR="00690994" w:rsidRPr="00690994" w:rsidTr="0050723A">
        <w:trPr>
          <w:trHeight w:val="33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валовой продукции сельского хозяйства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8429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8409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8733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8776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8922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8976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9112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9194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9333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9397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9540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9624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9770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9866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10016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10134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10288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10430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10588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10745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10908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11124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11292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11527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11702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11910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12091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12306</w:t>
            </w:r>
          </w:p>
        </w:tc>
      </w:tr>
      <w:tr w:rsidR="00690994" w:rsidRPr="00690994" w:rsidTr="0050723A">
        <w:trPr>
          <w:trHeight w:val="7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102,1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95,9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101,5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</w:t>
            </w:r>
          </w:p>
        </w:tc>
      </w:tr>
      <w:tr w:rsidR="00095822" w:rsidRPr="00690994" w:rsidTr="0050723A">
        <w:trPr>
          <w:trHeight w:val="64"/>
          <w:jc w:val="center"/>
        </w:trPr>
        <w:tc>
          <w:tcPr>
            <w:tcW w:w="16276" w:type="dxa"/>
            <w:gridSpan w:val="30"/>
            <w:hideMark/>
          </w:tcPr>
          <w:p w:rsidR="00095822" w:rsidRPr="00690994" w:rsidRDefault="0050723A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5. Инвестиции</w:t>
            </w:r>
          </w:p>
        </w:tc>
      </w:tr>
      <w:tr w:rsidR="00690994" w:rsidRPr="00690994" w:rsidTr="0050723A">
        <w:trPr>
          <w:trHeight w:val="30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Объем инвестиций в основной капитал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14751,5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15571,5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15346,5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16102,8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16072,4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17191,4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17153,3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18489,5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17407,7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19904,4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17879,7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21473,4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18344,8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22770,1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19063,2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23930,4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19718,7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25200,0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20447,4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26664,5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21429,3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28311,5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22419,9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30190,0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23474,7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32326,5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24647,1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34696,6</w:t>
            </w:r>
          </w:p>
        </w:tc>
      </w:tr>
      <w:tr w:rsidR="00690994" w:rsidRPr="00690994" w:rsidTr="0050723A">
        <w:trPr>
          <w:trHeight w:val="48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68,2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92,7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93,2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97,7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99,6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102,6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102,9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102,9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103,1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</w:tr>
      <w:tr w:rsidR="00095822" w:rsidRPr="00690994" w:rsidTr="0050723A">
        <w:trPr>
          <w:trHeight w:val="64"/>
          <w:jc w:val="center"/>
        </w:trPr>
        <w:tc>
          <w:tcPr>
            <w:tcW w:w="16276" w:type="dxa"/>
            <w:gridSpan w:val="30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6. Ввод жилья</w:t>
            </w:r>
          </w:p>
        </w:tc>
      </w:tr>
      <w:tr w:rsidR="00690994" w:rsidRPr="00690994" w:rsidTr="0050723A">
        <w:trPr>
          <w:trHeight w:val="345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Ввод в действие жилых домов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кв.м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108,5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139,0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90,0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130,0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140,0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112,0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155,0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119,8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175,0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128,5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172,0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117,1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156,7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178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179</w:t>
            </w:r>
          </w:p>
        </w:tc>
      </w:tr>
      <w:tr w:rsidR="00095822" w:rsidRPr="00690994" w:rsidTr="0050723A">
        <w:trPr>
          <w:trHeight w:val="64"/>
          <w:jc w:val="center"/>
        </w:trPr>
        <w:tc>
          <w:tcPr>
            <w:tcW w:w="16276" w:type="dxa"/>
            <w:gridSpan w:val="30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7. Рынок товаров и услуг</w:t>
            </w:r>
          </w:p>
        </w:tc>
      </w:tr>
      <w:tr w:rsidR="00690994" w:rsidRPr="00690994" w:rsidTr="0050723A">
        <w:trPr>
          <w:trHeight w:val="30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Оборот розничной торговли 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29662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34444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38000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38250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41280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42200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45370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46800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49000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50700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53090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55100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57100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59500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61300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64010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65850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69000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70750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74600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76200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80800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82000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85000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85600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89000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90400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94200</w:t>
            </w:r>
          </w:p>
        </w:tc>
      </w:tr>
      <w:tr w:rsidR="00690994" w:rsidRPr="00690994" w:rsidTr="0050723A">
        <w:trPr>
          <w:trHeight w:val="465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109,7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</w:tr>
      <w:tr w:rsidR="00690994" w:rsidRPr="00690994" w:rsidTr="0050723A">
        <w:trPr>
          <w:trHeight w:val="30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8069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8995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9950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10160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10900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11400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11850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12600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12572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13133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13493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14177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14649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15334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15752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16553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17005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17937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18392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19475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19892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21145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21556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23024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23539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25239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25853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27932</w:t>
            </w:r>
          </w:p>
        </w:tc>
      </w:tr>
      <w:tr w:rsidR="00690994" w:rsidRPr="00690994" w:rsidTr="0050723A">
        <w:trPr>
          <w:trHeight w:val="465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Индекс физического объема платных услуг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117,8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</w:tr>
      <w:tr w:rsidR="00690994" w:rsidRPr="00690994" w:rsidTr="0050723A">
        <w:trPr>
          <w:trHeight w:val="54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потребительских цен (к декабрю предыдущего года)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107,8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110,3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</w:tr>
      <w:tr w:rsidR="00095822" w:rsidRPr="00690994" w:rsidTr="0050723A">
        <w:trPr>
          <w:trHeight w:val="64"/>
          <w:jc w:val="center"/>
        </w:trPr>
        <w:tc>
          <w:tcPr>
            <w:tcW w:w="16276" w:type="dxa"/>
            <w:gridSpan w:val="30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8. Денежные доходы населения</w:t>
            </w:r>
          </w:p>
        </w:tc>
      </w:tr>
      <w:tr w:rsidR="00690994" w:rsidRPr="00690994" w:rsidTr="0050723A">
        <w:trPr>
          <w:trHeight w:val="465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Реальные располагаемые денежные доходы населения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99,3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99,0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108,0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110,5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112,0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111,0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113,8</w:t>
            </w:r>
          </w:p>
        </w:tc>
      </w:tr>
      <w:tr w:rsidR="00690994" w:rsidRPr="00690994" w:rsidTr="0050723A">
        <w:trPr>
          <w:trHeight w:val="33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46084,3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51845,0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53659,6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54437,3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55269,4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56505,9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57203,8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58766,1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59588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62799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62150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64683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64325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66947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66577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68955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69573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71713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71660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73865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73810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75711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75286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77983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77545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80712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79871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83537</w:t>
            </w:r>
          </w:p>
        </w:tc>
      </w:tr>
      <w:tr w:rsidR="00690994" w:rsidRPr="00690994" w:rsidTr="0050723A">
        <w:trPr>
          <w:trHeight w:val="48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Денежные доходы в расчете на душу населения в месяц 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21651,8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23383,9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24202,3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25020,8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24928,4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26021,6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25850,8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26932,4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26962,3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28009,7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28310,5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29550,2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29690,3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31027,7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30877,9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32268,8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31958,6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33398,2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33236,9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34400,2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34167,6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35432,2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35465,9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36424,3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36884,6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37881,3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37991,1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39396,5</w:t>
            </w:r>
          </w:p>
        </w:tc>
      </w:tr>
      <w:tr w:rsidR="00690994" w:rsidRPr="00690994" w:rsidTr="0050723A">
        <w:trPr>
          <w:trHeight w:val="63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28,2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29,3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28,7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19,0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14,2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12,5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11,4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10,0</w:t>
            </w:r>
          </w:p>
        </w:tc>
      </w:tr>
      <w:tr w:rsidR="00095822" w:rsidRPr="00690994" w:rsidTr="0050723A">
        <w:trPr>
          <w:trHeight w:val="64"/>
          <w:jc w:val="center"/>
        </w:trPr>
        <w:tc>
          <w:tcPr>
            <w:tcW w:w="16276" w:type="dxa"/>
            <w:gridSpan w:val="30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9. Труд и занятость</w:t>
            </w:r>
          </w:p>
        </w:tc>
      </w:tr>
      <w:tr w:rsidR="00690994" w:rsidRPr="00690994" w:rsidTr="0050723A">
        <w:trPr>
          <w:trHeight w:val="54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Общая численность безработных (по методологии МОТ) 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19,1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12,3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10,9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8,1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8,8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</w:t>
            </w:r>
          </w:p>
        </w:tc>
      </w:tr>
      <w:tr w:rsidR="00690994" w:rsidRPr="00690994" w:rsidTr="0050723A">
        <w:trPr>
          <w:trHeight w:val="345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безработицы (по методологии МОТ)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занятым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15,0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9,5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9,1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8,1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7,7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6,6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6,6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6,2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6,0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5,8</w:t>
            </w:r>
          </w:p>
        </w:tc>
      </w:tr>
      <w:tr w:rsidR="00095822" w:rsidRPr="00690994" w:rsidTr="0050723A">
        <w:trPr>
          <w:trHeight w:val="64"/>
          <w:jc w:val="center"/>
        </w:trPr>
        <w:tc>
          <w:tcPr>
            <w:tcW w:w="16276" w:type="dxa"/>
            <w:gridSpan w:val="30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10. Консолидированный бюджет Республики Тыва</w:t>
            </w:r>
          </w:p>
        </w:tc>
      </w:tr>
      <w:tr w:rsidR="00690994" w:rsidRPr="00690994" w:rsidTr="0050723A">
        <w:trPr>
          <w:trHeight w:val="30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Доходы 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млн.руб.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53498,2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60364,0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57987,1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58567,0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47727,5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48682,0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38578,4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39350,0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39155,9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39939,0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39755,9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40551,0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40381,4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41189,0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41030,4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41851,0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41705,9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42540,0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42408,8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43257,0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43139,2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44002,0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43899,0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44777,0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44690,2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45584,0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45511,8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46422,0</w:t>
            </w:r>
          </w:p>
        </w:tc>
      </w:tr>
      <w:tr w:rsidR="00690994" w:rsidRPr="00690994" w:rsidTr="0050723A">
        <w:trPr>
          <w:trHeight w:val="30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 xml:space="preserve">Расходы 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млн.руб.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53853,1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62433,0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59486,1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60081,0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48224,5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49189,0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39252,9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40038,0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39155,9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39939,0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39755,9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40551,0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40381,4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41189,0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41030,4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41851,0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41705,9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42540,0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42408,8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43257,0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43139,2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44002,0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43899,0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44777,0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44690,2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45584,0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45511,8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46422,0</w:t>
            </w:r>
          </w:p>
        </w:tc>
      </w:tr>
      <w:tr w:rsidR="00690994" w:rsidRPr="00690994" w:rsidTr="0050723A">
        <w:trPr>
          <w:trHeight w:val="300"/>
          <w:jc w:val="center"/>
        </w:trPr>
        <w:tc>
          <w:tcPr>
            <w:tcW w:w="542" w:type="dxa"/>
            <w:hideMark/>
          </w:tcPr>
          <w:p w:rsidR="00095822" w:rsidRPr="00690994" w:rsidRDefault="00095822" w:rsidP="0063493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Дефицит(-), профицит(+) </w:t>
            </w:r>
          </w:p>
        </w:tc>
        <w:tc>
          <w:tcPr>
            <w:tcW w:w="425" w:type="dxa"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млн.руб.</w:t>
            </w:r>
          </w:p>
        </w:tc>
        <w:tc>
          <w:tcPr>
            <w:tcW w:w="425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-354,9</w:t>
            </w:r>
          </w:p>
        </w:tc>
        <w:tc>
          <w:tcPr>
            <w:tcW w:w="454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-2069,0</w:t>
            </w:r>
          </w:p>
        </w:tc>
        <w:tc>
          <w:tcPr>
            <w:tcW w:w="539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-1499,0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-1514,0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-497,0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-507,0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-674,5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-688,0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3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482" w:type="dxa"/>
            <w:noWrap/>
            <w:hideMark/>
          </w:tcPr>
          <w:p w:rsidR="00095822" w:rsidRPr="00690994" w:rsidRDefault="00095822" w:rsidP="0063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909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</w:tbl>
    <w:p w:rsidR="00095822" w:rsidRPr="00025409" w:rsidRDefault="00095822" w:rsidP="00E6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5822" w:rsidRPr="00025409" w:rsidSect="005277DE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81" w:rsidRDefault="00881581" w:rsidP="00EA1572">
      <w:pPr>
        <w:spacing w:after="0" w:line="240" w:lineRule="auto"/>
      </w:pPr>
      <w:r>
        <w:separator/>
      </w:r>
    </w:p>
  </w:endnote>
  <w:endnote w:type="continuationSeparator" w:id="0">
    <w:p w:rsidR="00881581" w:rsidRDefault="00881581" w:rsidP="00EA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AC" w:rsidRDefault="00FD49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AC" w:rsidRDefault="00FD49A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AC" w:rsidRDefault="00FD49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81" w:rsidRDefault="00881581" w:rsidP="00EA1572">
      <w:pPr>
        <w:spacing w:after="0" w:line="240" w:lineRule="auto"/>
      </w:pPr>
      <w:r>
        <w:separator/>
      </w:r>
    </w:p>
  </w:footnote>
  <w:footnote w:type="continuationSeparator" w:id="0">
    <w:p w:rsidR="00881581" w:rsidRDefault="00881581" w:rsidP="00EA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AC" w:rsidRDefault="00FD49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293"/>
    </w:sdtPr>
    <w:sdtEndPr>
      <w:rPr>
        <w:rFonts w:ascii="Times New Roman" w:hAnsi="Times New Roman" w:cs="Times New Roman"/>
        <w:sz w:val="24"/>
      </w:rPr>
    </w:sdtEndPr>
    <w:sdtContent>
      <w:p w:rsidR="001E5082" w:rsidRPr="005277DE" w:rsidRDefault="0082262D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5277DE">
          <w:rPr>
            <w:rFonts w:ascii="Times New Roman" w:hAnsi="Times New Roman" w:cs="Times New Roman"/>
            <w:sz w:val="24"/>
          </w:rPr>
          <w:fldChar w:fldCharType="begin"/>
        </w:r>
        <w:r w:rsidR="001E5082" w:rsidRPr="005277D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277DE">
          <w:rPr>
            <w:rFonts w:ascii="Times New Roman" w:hAnsi="Times New Roman" w:cs="Times New Roman"/>
            <w:sz w:val="24"/>
          </w:rPr>
          <w:fldChar w:fldCharType="separate"/>
        </w:r>
        <w:r w:rsidR="00651388">
          <w:rPr>
            <w:rFonts w:ascii="Times New Roman" w:hAnsi="Times New Roman" w:cs="Times New Roman"/>
            <w:noProof/>
            <w:sz w:val="24"/>
          </w:rPr>
          <w:t>5</w:t>
        </w:r>
        <w:r w:rsidRPr="005277D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AC" w:rsidRDefault="00FD49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6A46"/>
    <w:multiLevelType w:val="hybridMultilevel"/>
    <w:tmpl w:val="477CD384"/>
    <w:lvl w:ilvl="0" w:tplc="759C3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D67D3"/>
    <w:multiLevelType w:val="hybridMultilevel"/>
    <w:tmpl w:val="605E599E"/>
    <w:lvl w:ilvl="0" w:tplc="957ADFB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351E46"/>
    <w:multiLevelType w:val="hybridMultilevel"/>
    <w:tmpl w:val="3F4C9232"/>
    <w:lvl w:ilvl="0" w:tplc="30628CCE">
      <w:start w:val="1"/>
      <w:numFmt w:val="decimal"/>
      <w:lvlText w:val="%1."/>
      <w:lvlJc w:val="left"/>
      <w:pPr>
        <w:ind w:left="128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d6dbce1-28e9-48cb-bb79-63aac29644ec"/>
  </w:docVars>
  <w:rsids>
    <w:rsidRoot w:val="00337411"/>
    <w:rsid w:val="000058AD"/>
    <w:rsid w:val="00006C22"/>
    <w:rsid w:val="000175F1"/>
    <w:rsid w:val="00021E58"/>
    <w:rsid w:val="00025409"/>
    <w:rsid w:val="00034183"/>
    <w:rsid w:val="00040677"/>
    <w:rsid w:val="00046EAE"/>
    <w:rsid w:val="000534C5"/>
    <w:rsid w:val="00062D64"/>
    <w:rsid w:val="00090C2B"/>
    <w:rsid w:val="000923AC"/>
    <w:rsid w:val="00093E77"/>
    <w:rsid w:val="00095822"/>
    <w:rsid w:val="000A1E9B"/>
    <w:rsid w:val="000B034B"/>
    <w:rsid w:val="000C4D41"/>
    <w:rsid w:val="00101F96"/>
    <w:rsid w:val="00103DED"/>
    <w:rsid w:val="001128FA"/>
    <w:rsid w:val="001130B1"/>
    <w:rsid w:val="00114177"/>
    <w:rsid w:val="001155CE"/>
    <w:rsid w:val="00125DF7"/>
    <w:rsid w:val="0012623B"/>
    <w:rsid w:val="00126E53"/>
    <w:rsid w:val="00153A0B"/>
    <w:rsid w:val="00170FE3"/>
    <w:rsid w:val="00186375"/>
    <w:rsid w:val="00193A58"/>
    <w:rsid w:val="00197158"/>
    <w:rsid w:val="00197266"/>
    <w:rsid w:val="001A2382"/>
    <w:rsid w:val="001A3D8D"/>
    <w:rsid w:val="001E222C"/>
    <w:rsid w:val="001E5082"/>
    <w:rsid w:val="0021378D"/>
    <w:rsid w:val="00224641"/>
    <w:rsid w:val="00260589"/>
    <w:rsid w:val="002721AA"/>
    <w:rsid w:val="0028116D"/>
    <w:rsid w:val="002829CC"/>
    <w:rsid w:val="0029139C"/>
    <w:rsid w:val="002B0583"/>
    <w:rsid w:val="002B2758"/>
    <w:rsid w:val="002C342D"/>
    <w:rsid w:val="002D4975"/>
    <w:rsid w:val="002E3579"/>
    <w:rsid w:val="00301EDF"/>
    <w:rsid w:val="00305AF0"/>
    <w:rsid w:val="0031195D"/>
    <w:rsid w:val="00312438"/>
    <w:rsid w:val="0031390B"/>
    <w:rsid w:val="00333D24"/>
    <w:rsid w:val="00337411"/>
    <w:rsid w:val="003619EB"/>
    <w:rsid w:val="0036228E"/>
    <w:rsid w:val="003808DE"/>
    <w:rsid w:val="00381235"/>
    <w:rsid w:val="003818A4"/>
    <w:rsid w:val="00386FFB"/>
    <w:rsid w:val="003B7F24"/>
    <w:rsid w:val="003D37BC"/>
    <w:rsid w:val="003F202E"/>
    <w:rsid w:val="003F78D8"/>
    <w:rsid w:val="004016A7"/>
    <w:rsid w:val="00431E33"/>
    <w:rsid w:val="004370B6"/>
    <w:rsid w:val="00472D72"/>
    <w:rsid w:val="004B0196"/>
    <w:rsid w:val="004B0E64"/>
    <w:rsid w:val="004C57CF"/>
    <w:rsid w:val="004D63D0"/>
    <w:rsid w:val="0050723A"/>
    <w:rsid w:val="00514282"/>
    <w:rsid w:val="005277DE"/>
    <w:rsid w:val="00527ADC"/>
    <w:rsid w:val="00531895"/>
    <w:rsid w:val="00540377"/>
    <w:rsid w:val="00550EFC"/>
    <w:rsid w:val="005560AC"/>
    <w:rsid w:val="00556F14"/>
    <w:rsid w:val="00565537"/>
    <w:rsid w:val="00571B4D"/>
    <w:rsid w:val="005735CB"/>
    <w:rsid w:val="0058274A"/>
    <w:rsid w:val="005A20FE"/>
    <w:rsid w:val="005A4A06"/>
    <w:rsid w:val="005B152F"/>
    <w:rsid w:val="005C21DC"/>
    <w:rsid w:val="005D53D1"/>
    <w:rsid w:val="005E3F4B"/>
    <w:rsid w:val="005E4008"/>
    <w:rsid w:val="005F14A2"/>
    <w:rsid w:val="00624D44"/>
    <w:rsid w:val="00634932"/>
    <w:rsid w:val="00642472"/>
    <w:rsid w:val="00651388"/>
    <w:rsid w:val="00652918"/>
    <w:rsid w:val="0065312F"/>
    <w:rsid w:val="00674323"/>
    <w:rsid w:val="006760F2"/>
    <w:rsid w:val="00687B0B"/>
    <w:rsid w:val="00687B38"/>
    <w:rsid w:val="00690994"/>
    <w:rsid w:val="006A0F3F"/>
    <w:rsid w:val="006A2846"/>
    <w:rsid w:val="006A6C0E"/>
    <w:rsid w:val="006B1C6A"/>
    <w:rsid w:val="006B63D5"/>
    <w:rsid w:val="006C2CC0"/>
    <w:rsid w:val="006E1D12"/>
    <w:rsid w:val="006E664D"/>
    <w:rsid w:val="00705F70"/>
    <w:rsid w:val="0071279D"/>
    <w:rsid w:val="007153DE"/>
    <w:rsid w:val="007202B5"/>
    <w:rsid w:val="00725CE5"/>
    <w:rsid w:val="00746758"/>
    <w:rsid w:val="007524DB"/>
    <w:rsid w:val="007644CB"/>
    <w:rsid w:val="00765F86"/>
    <w:rsid w:val="007712AC"/>
    <w:rsid w:val="00780161"/>
    <w:rsid w:val="007827B4"/>
    <w:rsid w:val="007B79F7"/>
    <w:rsid w:val="007D2AAB"/>
    <w:rsid w:val="007D5687"/>
    <w:rsid w:val="007E6854"/>
    <w:rsid w:val="008012BF"/>
    <w:rsid w:val="00810758"/>
    <w:rsid w:val="0082262D"/>
    <w:rsid w:val="00833B6C"/>
    <w:rsid w:val="008351A9"/>
    <w:rsid w:val="00840716"/>
    <w:rsid w:val="00846C42"/>
    <w:rsid w:val="008506AB"/>
    <w:rsid w:val="00850F0D"/>
    <w:rsid w:val="00863B53"/>
    <w:rsid w:val="00881581"/>
    <w:rsid w:val="008862F1"/>
    <w:rsid w:val="008C37FE"/>
    <w:rsid w:val="008C3A0F"/>
    <w:rsid w:val="008C5704"/>
    <w:rsid w:val="008D1C4E"/>
    <w:rsid w:val="008D4660"/>
    <w:rsid w:val="008D7477"/>
    <w:rsid w:val="00912278"/>
    <w:rsid w:val="00923007"/>
    <w:rsid w:val="00935690"/>
    <w:rsid w:val="00937238"/>
    <w:rsid w:val="0094768E"/>
    <w:rsid w:val="009600F1"/>
    <w:rsid w:val="009637CD"/>
    <w:rsid w:val="00971F88"/>
    <w:rsid w:val="00974962"/>
    <w:rsid w:val="00981560"/>
    <w:rsid w:val="00982F48"/>
    <w:rsid w:val="00983E73"/>
    <w:rsid w:val="009845A2"/>
    <w:rsid w:val="009963AB"/>
    <w:rsid w:val="009A1E03"/>
    <w:rsid w:val="009A310C"/>
    <w:rsid w:val="009A748B"/>
    <w:rsid w:val="009B1012"/>
    <w:rsid w:val="009E0965"/>
    <w:rsid w:val="009E3FDD"/>
    <w:rsid w:val="009E6814"/>
    <w:rsid w:val="00A13555"/>
    <w:rsid w:val="00A1359E"/>
    <w:rsid w:val="00A350F6"/>
    <w:rsid w:val="00A36B6C"/>
    <w:rsid w:val="00A37DF0"/>
    <w:rsid w:val="00A53B5C"/>
    <w:rsid w:val="00A54DBB"/>
    <w:rsid w:val="00A54FDD"/>
    <w:rsid w:val="00A80B44"/>
    <w:rsid w:val="00A830FB"/>
    <w:rsid w:val="00A96363"/>
    <w:rsid w:val="00AA7484"/>
    <w:rsid w:val="00AB1A11"/>
    <w:rsid w:val="00AB1A13"/>
    <w:rsid w:val="00AD5413"/>
    <w:rsid w:val="00AE2417"/>
    <w:rsid w:val="00AF7AE7"/>
    <w:rsid w:val="00B10BB1"/>
    <w:rsid w:val="00B26BEC"/>
    <w:rsid w:val="00B363A5"/>
    <w:rsid w:val="00B36959"/>
    <w:rsid w:val="00B5505D"/>
    <w:rsid w:val="00B57E9E"/>
    <w:rsid w:val="00B66CDE"/>
    <w:rsid w:val="00B71A5A"/>
    <w:rsid w:val="00B72DAF"/>
    <w:rsid w:val="00B80BAE"/>
    <w:rsid w:val="00B9043F"/>
    <w:rsid w:val="00BC3EDE"/>
    <w:rsid w:val="00BC571D"/>
    <w:rsid w:val="00BD484A"/>
    <w:rsid w:val="00BD6A14"/>
    <w:rsid w:val="00BE5293"/>
    <w:rsid w:val="00BF4D34"/>
    <w:rsid w:val="00C10B32"/>
    <w:rsid w:val="00C3030A"/>
    <w:rsid w:val="00C36CC5"/>
    <w:rsid w:val="00C42923"/>
    <w:rsid w:val="00C503BF"/>
    <w:rsid w:val="00C50F44"/>
    <w:rsid w:val="00C71620"/>
    <w:rsid w:val="00C86D3D"/>
    <w:rsid w:val="00C96931"/>
    <w:rsid w:val="00C96EF6"/>
    <w:rsid w:val="00CB1B8C"/>
    <w:rsid w:val="00CD28A3"/>
    <w:rsid w:val="00CE2590"/>
    <w:rsid w:val="00CE6B48"/>
    <w:rsid w:val="00D0249D"/>
    <w:rsid w:val="00D26B34"/>
    <w:rsid w:val="00D27F3E"/>
    <w:rsid w:val="00D35288"/>
    <w:rsid w:val="00D36427"/>
    <w:rsid w:val="00D411D0"/>
    <w:rsid w:val="00D46E96"/>
    <w:rsid w:val="00D64A32"/>
    <w:rsid w:val="00D6583D"/>
    <w:rsid w:val="00D76976"/>
    <w:rsid w:val="00DB57E4"/>
    <w:rsid w:val="00DD4888"/>
    <w:rsid w:val="00DD4D0F"/>
    <w:rsid w:val="00DE0919"/>
    <w:rsid w:val="00DF1D33"/>
    <w:rsid w:val="00DF23AA"/>
    <w:rsid w:val="00E00DD1"/>
    <w:rsid w:val="00E16B38"/>
    <w:rsid w:val="00E22F34"/>
    <w:rsid w:val="00E31472"/>
    <w:rsid w:val="00E33DB7"/>
    <w:rsid w:val="00E52125"/>
    <w:rsid w:val="00E543DF"/>
    <w:rsid w:val="00E55F71"/>
    <w:rsid w:val="00E609E4"/>
    <w:rsid w:val="00E622D4"/>
    <w:rsid w:val="00EA0FA8"/>
    <w:rsid w:val="00EA1572"/>
    <w:rsid w:val="00EB282B"/>
    <w:rsid w:val="00EB5E7A"/>
    <w:rsid w:val="00EB7F1C"/>
    <w:rsid w:val="00EC4BDC"/>
    <w:rsid w:val="00EF1D65"/>
    <w:rsid w:val="00EF7392"/>
    <w:rsid w:val="00F0659F"/>
    <w:rsid w:val="00F16A28"/>
    <w:rsid w:val="00F16C5E"/>
    <w:rsid w:val="00F26701"/>
    <w:rsid w:val="00F31822"/>
    <w:rsid w:val="00F37764"/>
    <w:rsid w:val="00F41612"/>
    <w:rsid w:val="00F644A6"/>
    <w:rsid w:val="00F7067B"/>
    <w:rsid w:val="00F75647"/>
    <w:rsid w:val="00F76FA9"/>
    <w:rsid w:val="00F85081"/>
    <w:rsid w:val="00FA6CF4"/>
    <w:rsid w:val="00FB019A"/>
    <w:rsid w:val="00FB37F2"/>
    <w:rsid w:val="00FC7E7C"/>
    <w:rsid w:val="00FD2D91"/>
    <w:rsid w:val="00FD3592"/>
    <w:rsid w:val="00FD49AC"/>
    <w:rsid w:val="00FE1588"/>
    <w:rsid w:val="00FE1FC6"/>
    <w:rsid w:val="00FE2937"/>
    <w:rsid w:val="00FE7278"/>
    <w:rsid w:val="00FE73DE"/>
    <w:rsid w:val="00FF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04D01-1AD2-4CE2-A911-AB0CE953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6D"/>
  </w:style>
  <w:style w:type="paragraph" w:styleId="1">
    <w:name w:val="heading 1"/>
    <w:basedOn w:val="a"/>
    <w:next w:val="a"/>
    <w:link w:val="10"/>
    <w:uiPriority w:val="9"/>
    <w:qFormat/>
    <w:rsid w:val="00305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aliases w:val="Обычный (Web),Знак Знак Знак,Знак Знак Знак Знак Знак Знак Знак,Знак Знак Знак Знак Знак,Обычный (веб)1,Обычный (Web)1,Обычный (веб) Знак1,Обычный (веб) Знак Знак1,Обычный (веб) Знак Знак Знак,Знак Знак1 Знак Знак,Знак4 Зна,Знак Знак3"/>
    <w:basedOn w:val="a"/>
    <w:uiPriority w:val="99"/>
    <w:rsid w:val="00305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05AF0"/>
    <w:rPr>
      <w:b/>
      <w:bCs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6"/>
    <w:uiPriority w:val="34"/>
    <w:qFormat/>
    <w:rsid w:val="009E6814"/>
    <w:pPr>
      <w:ind w:left="720"/>
      <w:contextualSpacing/>
    </w:p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5"/>
    <w:uiPriority w:val="34"/>
    <w:locked/>
    <w:rsid w:val="009E6814"/>
  </w:style>
  <w:style w:type="paragraph" w:styleId="a7">
    <w:name w:val="header"/>
    <w:basedOn w:val="a"/>
    <w:link w:val="a8"/>
    <w:uiPriority w:val="99"/>
    <w:unhideWhenUsed/>
    <w:rsid w:val="00EA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572"/>
  </w:style>
  <w:style w:type="paragraph" w:styleId="a9">
    <w:name w:val="footer"/>
    <w:basedOn w:val="a"/>
    <w:link w:val="aa"/>
    <w:uiPriority w:val="99"/>
    <w:unhideWhenUsed/>
    <w:rsid w:val="00EA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572"/>
  </w:style>
  <w:style w:type="paragraph" w:customStyle="1" w:styleId="text">
    <w:name w:val="text"/>
    <w:basedOn w:val="a"/>
    <w:rsid w:val="00565537"/>
    <w:pPr>
      <w:spacing w:after="0" w:line="230" w:lineRule="atLeast"/>
      <w:ind w:left="46" w:right="46" w:firstLine="460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58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72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634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0150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16" w:color="FFFFFF"/>
            <w:right w:val="single" w:sz="8" w:space="4" w:color="FFFFFF"/>
          </w:divBdr>
        </w:div>
        <w:div w:id="318311190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4" w:color="FFFFFF"/>
          </w:divBdr>
        </w:div>
        <w:div w:id="1247809107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16" w:color="FFFFFF"/>
            <w:right w:val="single" w:sz="8" w:space="4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E5ED-D4DE-43A1-809F-228F3EC1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Чейнеш Отугбаевна</dc:creator>
  <cp:keywords/>
  <dc:description/>
  <cp:lastModifiedBy>Тас-оол Оксана Всеволодовна</cp:lastModifiedBy>
  <cp:revision>3</cp:revision>
  <cp:lastPrinted>2023-03-06T10:19:00Z</cp:lastPrinted>
  <dcterms:created xsi:type="dcterms:W3CDTF">2023-03-06T10:20:00Z</dcterms:created>
  <dcterms:modified xsi:type="dcterms:W3CDTF">2023-03-06T10:21:00Z</dcterms:modified>
</cp:coreProperties>
</file>